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091F5" w14:textId="05CA6BEB" w:rsidR="007C427C" w:rsidRPr="00EA6617" w:rsidRDefault="00713047" w:rsidP="00AC4ECA">
      <w:pPr>
        <w:tabs>
          <w:tab w:val="left" w:pos="1418"/>
        </w:tabs>
        <w:spacing w:after="0" w:line="240" w:lineRule="auto"/>
        <w:ind w:firstLine="0"/>
        <w:jc w:val="center"/>
        <w:rPr>
          <w:b/>
          <w:bCs/>
          <w:sz w:val="24"/>
          <w:szCs w:val="24"/>
        </w:rPr>
      </w:pPr>
      <w:r w:rsidRPr="00D96A20">
        <w:rPr>
          <w:b/>
          <w:bCs/>
          <w:sz w:val="28"/>
          <w:szCs w:val="28"/>
        </w:rPr>
        <w:t xml:space="preserve">TERMO DE </w:t>
      </w:r>
      <w:r w:rsidR="00516BF8" w:rsidRPr="00D96A20">
        <w:rPr>
          <w:b/>
          <w:bCs/>
          <w:sz w:val="28"/>
          <w:szCs w:val="28"/>
        </w:rPr>
        <w:t>REFERÊNCIA</w:t>
      </w: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385ABCF7"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C41792" w:rsidRPr="00C41792">
              <w:rPr>
                <w:sz w:val="24"/>
                <w:szCs w:val="24"/>
              </w:rPr>
              <w:t>Unidade Gestão Administrativo</w:t>
            </w:r>
          </w:p>
        </w:tc>
      </w:tr>
      <w:tr w:rsidR="00D96A20" w:rsidRPr="00EA6617" w14:paraId="5DA5C4F5" w14:textId="3A8C7309" w:rsidTr="00D96A20">
        <w:tc>
          <w:tcPr>
            <w:tcW w:w="9067" w:type="dxa"/>
          </w:tcPr>
          <w:p w14:paraId="3925FA7C" w14:textId="4F0DCC82"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C41792" w:rsidRPr="00C41792">
              <w:rPr>
                <w:sz w:val="24"/>
                <w:szCs w:val="24"/>
              </w:rPr>
              <w:t>Davi Correa Caminha</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5A3F5B60" w14:textId="5B0DC1F9" w:rsidR="00C41792" w:rsidRPr="00C41792" w:rsidRDefault="00C41792" w:rsidP="00C41792">
            <w:pPr>
              <w:spacing w:before="240" w:after="0" w:line="240" w:lineRule="auto"/>
              <w:ind w:firstLine="0"/>
              <w:rPr>
                <w:rFonts w:eastAsia="Calibri"/>
                <w:color w:val="auto"/>
                <w:kern w:val="0"/>
              </w:rPr>
            </w:pPr>
            <w:r w:rsidRPr="00C41792">
              <w:rPr>
                <w:rFonts w:eastAsia="Calibri"/>
              </w:rPr>
              <w:t>Aquisição, sob demanda, de café especial, torra média, com pontuação igual ou superior a 80 pontos, produzidos na Região com Indicação Geográfica Matas de Rondônia por empreendimento familiar rural que se enquadre nas disposições da Lei Federal nº 11.326/2006, conforme condições, quantidades, exigências e estimativa descrita no Detalhamento Técnico para o atendimento da Sede do Sebrae em Rondônia e suas Unidades Regionais e Ponto de Atendimento.</w:t>
            </w: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5DD0A29B" w14:textId="1B993184" w:rsidR="00B70617" w:rsidRPr="00B70617" w:rsidRDefault="00786C3F" w:rsidP="00B70617">
            <w:pPr>
              <w:spacing w:before="240" w:line="240" w:lineRule="auto"/>
              <w:ind w:firstLine="0"/>
              <w:rPr>
                <w:rFonts w:eastAsia="Calibri"/>
              </w:rPr>
            </w:pPr>
            <w:r>
              <w:rPr>
                <w:rFonts w:eastAsia="Calibri"/>
              </w:rPr>
              <w:t>I</w:t>
            </w:r>
            <w:r w:rsidR="00B70617" w:rsidRPr="00B70617">
              <w:rPr>
                <w:rFonts w:eastAsia="Calibri"/>
              </w:rPr>
              <w:t>NTRODUÇÃO</w:t>
            </w:r>
          </w:p>
          <w:p w14:paraId="27FAF425" w14:textId="77777777" w:rsidR="00B70617" w:rsidRPr="00B70617" w:rsidRDefault="00B70617" w:rsidP="00B70617">
            <w:pPr>
              <w:spacing w:before="240" w:line="240" w:lineRule="auto"/>
              <w:ind w:firstLine="0"/>
              <w:rPr>
                <w:rFonts w:eastAsia="Calibri"/>
              </w:rPr>
            </w:pPr>
          </w:p>
          <w:p w14:paraId="6174EF21" w14:textId="77777777" w:rsidR="00B70617" w:rsidRPr="00B70617" w:rsidRDefault="00B70617" w:rsidP="00B70617">
            <w:pPr>
              <w:spacing w:before="240" w:line="240" w:lineRule="auto"/>
              <w:ind w:firstLine="0"/>
              <w:rPr>
                <w:rFonts w:eastAsia="Calibri"/>
              </w:rPr>
            </w:pPr>
            <w:r w:rsidRPr="00B70617">
              <w:rPr>
                <w:rFonts w:eastAsia="Calibri"/>
              </w:rPr>
              <w:t>O café é uma das bebidas mais consumidas em todo o mundo, apesar de todos os preconceitos e intensas campanhas de desvalorização. Não é à toa que a humanidade o adotou como um hábito universal, presente em todos os lares e instituições, e oferecido em diversas ocasiões, em todos os cantos do planeta. Entretanto, tomar um “cafezinho” pode trazer mais benefícios à saúde que o simples prazer de degustar a tradicional bebida.</w:t>
            </w:r>
          </w:p>
          <w:p w14:paraId="5E06ADF6" w14:textId="77777777" w:rsidR="00B70617" w:rsidRPr="00B70617" w:rsidRDefault="00B70617" w:rsidP="00B70617">
            <w:pPr>
              <w:spacing w:before="240" w:line="240" w:lineRule="auto"/>
              <w:ind w:firstLine="0"/>
              <w:rPr>
                <w:rFonts w:eastAsia="Calibri"/>
              </w:rPr>
            </w:pPr>
          </w:p>
          <w:p w14:paraId="414CA290" w14:textId="77777777" w:rsidR="00B70617" w:rsidRPr="00B70617" w:rsidRDefault="00B70617" w:rsidP="00B70617">
            <w:pPr>
              <w:spacing w:before="240" w:line="240" w:lineRule="auto"/>
              <w:ind w:firstLine="0"/>
              <w:rPr>
                <w:rFonts w:eastAsia="Calibri"/>
              </w:rPr>
            </w:pPr>
            <w:r w:rsidRPr="00B70617">
              <w:rPr>
                <w:rFonts w:eastAsia="Calibri"/>
              </w:rPr>
              <w:t>O Contrato nº 36/2024, firmado com a empresa DON BENTO CAFÉ ESPECIAL LTDA, tem vigência até 02/09/2025. Até o momento, a contratada vem cumprindo regularmente todas as suas obrigações contratuais, sem registros que desabonem sua atuação.</w:t>
            </w:r>
          </w:p>
          <w:p w14:paraId="3405533E" w14:textId="77777777" w:rsidR="00B70617" w:rsidRPr="00B70617" w:rsidRDefault="00B70617" w:rsidP="00B70617">
            <w:pPr>
              <w:spacing w:before="240" w:line="240" w:lineRule="auto"/>
              <w:ind w:firstLine="0"/>
              <w:rPr>
                <w:rFonts w:eastAsia="Calibri"/>
              </w:rPr>
            </w:pPr>
          </w:p>
          <w:p w14:paraId="4B573EB3" w14:textId="77777777" w:rsidR="00B70617" w:rsidRPr="00B70617" w:rsidRDefault="00B70617" w:rsidP="00B70617">
            <w:pPr>
              <w:spacing w:before="240" w:line="240" w:lineRule="auto"/>
              <w:ind w:firstLine="0"/>
              <w:rPr>
                <w:rFonts w:eastAsia="Calibri"/>
              </w:rPr>
            </w:pPr>
            <w:r w:rsidRPr="00B70617">
              <w:rPr>
                <w:rFonts w:eastAsia="Calibri"/>
              </w:rPr>
              <w:t>Com a aproximação do término da vigência, o gestor encaminhou e-mail consultando o interesse da empresa na renovação do contrato. Em resposta, a contratada manifestou interesse, condicionado à realização de reequilíbrio econômico-financeiro. No entanto, ao ser informada da necessidade de apresentar documentação comprobatória para viabilizar o pedido de reajuste, a empresa desistiu da renovação, alegando não ter condições de fornecer os documentos exigidos.</w:t>
            </w:r>
          </w:p>
          <w:p w14:paraId="6D0D3650" w14:textId="77777777" w:rsidR="00B70617" w:rsidRPr="00B70617" w:rsidRDefault="00B70617" w:rsidP="00B70617">
            <w:pPr>
              <w:spacing w:before="240" w:line="240" w:lineRule="auto"/>
              <w:ind w:firstLine="0"/>
              <w:rPr>
                <w:rFonts w:eastAsia="Calibri"/>
              </w:rPr>
            </w:pPr>
          </w:p>
          <w:p w14:paraId="2EE97A5F" w14:textId="77777777" w:rsidR="00B70617" w:rsidRPr="00B70617" w:rsidRDefault="00B70617" w:rsidP="00B70617">
            <w:pPr>
              <w:spacing w:before="240" w:line="240" w:lineRule="auto"/>
              <w:ind w:firstLine="0"/>
              <w:rPr>
                <w:rFonts w:eastAsia="Calibri"/>
              </w:rPr>
            </w:pPr>
            <w:r w:rsidRPr="00B70617">
              <w:rPr>
                <w:rFonts w:eastAsia="Calibri"/>
              </w:rPr>
              <w:t>Diante desse cenário, e considerando a proximidade do encerramento contratual, torna-se necessária a realização de nova contratação. A medida tem como objetivo ampliar a competitividade no setor, incentivar a participação de novos cafeicultores e fortalecer a agricultura familiar na região com a IG - Indicação Geográfica Matas de Rondônia, o que possibilitará a inclusão de novos produtores no mercado de cafés especiais. Em alinhamento ao projeto desenvolvido pelo Sebrae em Rondônia, que já apoia um grupo de cafeicultores no aprimoramento de suas práticas mercadológicas e no acesso ao mercado, uma nova contratação promoverá maior competitividade e incentivará o crescimento do setor. Dessa forma, a iniciativa não só fortalecerá a cadeia produtiva local, como também ampliará as oportunidades de mercado para os cafeicultores da região.</w:t>
            </w:r>
          </w:p>
          <w:p w14:paraId="4E086A26" w14:textId="77777777" w:rsidR="00B70617" w:rsidRPr="00B70617" w:rsidRDefault="00B70617" w:rsidP="00B70617">
            <w:pPr>
              <w:spacing w:before="240" w:line="240" w:lineRule="auto"/>
              <w:ind w:firstLine="0"/>
              <w:rPr>
                <w:rFonts w:eastAsia="Calibri"/>
              </w:rPr>
            </w:pPr>
          </w:p>
          <w:p w14:paraId="33DD1344" w14:textId="77777777" w:rsidR="00B70617" w:rsidRPr="00B70617" w:rsidRDefault="00B70617" w:rsidP="00B70617">
            <w:pPr>
              <w:spacing w:before="240" w:line="240" w:lineRule="auto"/>
              <w:ind w:firstLine="0"/>
              <w:rPr>
                <w:rFonts w:eastAsia="Calibri"/>
              </w:rPr>
            </w:pPr>
            <w:r w:rsidRPr="00B70617">
              <w:rPr>
                <w:rFonts w:eastAsia="Calibri"/>
              </w:rPr>
              <w:t>HISTÓRICO</w:t>
            </w:r>
          </w:p>
          <w:p w14:paraId="4338DAEA" w14:textId="77777777" w:rsidR="00B70617" w:rsidRPr="00B70617" w:rsidRDefault="00B70617" w:rsidP="00B70617">
            <w:pPr>
              <w:spacing w:before="240" w:line="240" w:lineRule="auto"/>
              <w:ind w:firstLine="0"/>
              <w:rPr>
                <w:rFonts w:eastAsia="Calibri"/>
              </w:rPr>
            </w:pPr>
          </w:p>
          <w:p w14:paraId="77331A39" w14:textId="77777777" w:rsidR="00B70617" w:rsidRPr="00B70617" w:rsidRDefault="00B70617" w:rsidP="00B70617">
            <w:pPr>
              <w:spacing w:before="240" w:line="240" w:lineRule="auto"/>
              <w:ind w:firstLine="0"/>
              <w:rPr>
                <w:rFonts w:eastAsia="Calibri"/>
              </w:rPr>
            </w:pPr>
            <w:r w:rsidRPr="00B70617">
              <w:rPr>
                <w:rFonts w:eastAsia="Calibri"/>
              </w:rPr>
              <w:t xml:space="preserve">Rondônia é responsável por cerca de 97% do café produzido na Amazônia. O Estado vem passando por diversas transformações, tornando-se mais agronomicamente eficiente com uma evolução superior a 300% em sua produtividade nos últimos anos. Aliado a isso vem o reconhecimento de uma cafeicultura que se destaca também pelo número crescente de </w:t>
            </w:r>
            <w:r w:rsidRPr="00B70617">
              <w:rPr>
                <w:rFonts w:eastAsia="Calibri"/>
              </w:rPr>
              <w:lastRenderedPageBreak/>
              <w:t>produtores que desenvolvem lotes e microlotes de um produto de qualidade de padrão internacional.</w:t>
            </w:r>
          </w:p>
          <w:p w14:paraId="7E81E707" w14:textId="77777777" w:rsidR="00B70617" w:rsidRPr="00B70617" w:rsidRDefault="00B70617" w:rsidP="00B70617">
            <w:pPr>
              <w:spacing w:before="240" w:line="240" w:lineRule="auto"/>
              <w:ind w:firstLine="0"/>
              <w:rPr>
                <w:rFonts w:eastAsia="Calibri"/>
              </w:rPr>
            </w:pPr>
          </w:p>
          <w:p w14:paraId="5888EE27" w14:textId="77777777" w:rsidR="00B70617" w:rsidRPr="00B70617" w:rsidRDefault="00B70617" w:rsidP="00B70617">
            <w:pPr>
              <w:spacing w:before="240" w:line="240" w:lineRule="auto"/>
              <w:ind w:firstLine="0"/>
              <w:rPr>
                <w:rFonts w:eastAsia="Calibri"/>
              </w:rPr>
            </w:pPr>
            <w:r w:rsidRPr="00B70617">
              <w:rPr>
                <w:rFonts w:eastAsia="Calibri"/>
              </w:rPr>
              <w:t>A cafeicultura é uma das principais atividades agrícolas geradoras de Imposto sobre Circulação de Mercadorias e Serviços – ICMS para o Estado de Rondônia. De acordo com dados do Instituto Brasileiro de Geografia e Estatística (IBGE), a cultura é conduzida por cerca de 17 mil produtores. São módulos com média de quatro hectares plantados. A base de toda a mão de obra é familiar e o processo de colheita é manual. A exceção fica para um pequeno grupo de produtores, não superior a 30, que possui equipamentos para a colheita semimecanizada.</w:t>
            </w:r>
          </w:p>
          <w:p w14:paraId="18253CB1" w14:textId="77777777" w:rsidR="00B70617" w:rsidRPr="00B70617" w:rsidRDefault="00B70617" w:rsidP="00B70617">
            <w:pPr>
              <w:spacing w:before="240" w:line="240" w:lineRule="auto"/>
              <w:ind w:firstLine="0"/>
              <w:rPr>
                <w:rFonts w:eastAsia="Calibri"/>
              </w:rPr>
            </w:pPr>
          </w:p>
          <w:p w14:paraId="679602B4" w14:textId="77777777" w:rsidR="00B70617" w:rsidRPr="00B70617" w:rsidRDefault="00B70617" w:rsidP="00B70617">
            <w:pPr>
              <w:spacing w:before="240" w:line="240" w:lineRule="auto"/>
              <w:ind w:firstLine="0"/>
              <w:rPr>
                <w:rFonts w:eastAsia="Calibri"/>
              </w:rPr>
            </w:pPr>
            <w:r w:rsidRPr="00B70617">
              <w:rPr>
                <w:rFonts w:eastAsia="Calibri"/>
              </w:rPr>
              <w:t>O Café produzido no Estado de Rondônia é o Café da espécie Canéfora tendo a variedade Robusta Amazônico grande expressividade na área de produção. O café produzido no Estado comumente foi utilizado para fazer blend com o café arábica, tornando o café apreciável frente aos sabores das duas espécies.</w:t>
            </w:r>
          </w:p>
          <w:p w14:paraId="00F29A45" w14:textId="77777777" w:rsidR="00B70617" w:rsidRPr="00B70617" w:rsidRDefault="00B70617" w:rsidP="00B70617">
            <w:pPr>
              <w:spacing w:before="240" w:line="240" w:lineRule="auto"/>
              <w:ind w:firstLine="0"/>
              <w:rPr>
                <w:rFonts w:eastAsia="Calibri"/>
              </w:rPr>
            </w:pPr>
          </w:p>
          <w:p w14:paraId="76150B9A" w14:textId="77777777" w:rsidR="00B70617" w:rsidRPr="00B70617" w:rsidRDefault="00B70617" w:rsidP="00B70617">
            <w:pPr>
              <w:spacing w:before="240" w:line="240" w:lineRule="auto"/>
              <w:ind w:firstLine="0"/>
              <w:rPr>
                <w:rFonts w:eastAsia="Calibri"/>
              </w:rPr>
            </w:pPr>
            <w:r w:rsidRPr="00B70617">
              <w:rPr>
                <w:rFonts w:eastAsia="Calibri"/>
              </w:rPr>
              <w:t>Como parte dessa evolução, a região Matas de Rondônia está em processo de reconhecimento da sua excelência na produção de Robustas Amazônicos Finos, por meio do selo de Indicação Geográfica, e um forte vínculo com a sustentabilidade, baseado na chancela da Plataforma Global do Café - PGC. A possibilidade desse selo de origem e qualidade para os cafés amazônicos abre oportunidades para os mais de 17 mil cafeicultores da região, em sua maioria de base familiar, na busca por novos mercados consumidores e formas de uso para os seus grãos.</w:t>
            </w:r>
          </w:p>
          <w:p w14:paraId="206AF82D" w14:textId="77777777" w:rsidR="00B70617" w:rsidRPr="00B70617" w:rsidRDefault="00B70617" w:rsidP="00B70617">
            <w:pPr>
              <w:spacing w:before="240" w:line="240" w:lineRule="auto"/>
              <w:ind w:firstLine="0"/>
              <w:rPr>
                <w:rFonts w:eastAsia="Calibri"/>
              </w:rPr>
            </w:pPr>
          </w:p>
          <w:p w14:paraId="42BFA4A6" w14:textId="77777777" w:rsidR="00B70617" w:rsidRPr="00B70617" w:rsidRDefault="00B70617" w:rsidP="00B70617">
            <w:pPr>
              <w:spacing w:before="240" w:line="240" w:lineRule="auto"/>
              <w:ind w:firstLine="0"/>
              <w:rPr>
                <w:rFonts w:eastAsia="Calibri"/>
              </w:rPr>
            </w:pPr>
            <w:r w:rsidRPr="00B70617">
              <w:rPr>
                <w:rFonts w:eastAsia="Calibri"/>
              </w:rPr>
              <w:t>A cafeicultura amazônica tem se mostrado prodiga em novidades e inserção social. São indígenas, mulheres, jovens e sêniores que cultivam o café no Estado em uma área superior a 70 mil hectares. Na Amazônia, todos têm seu lugar ao sol nesse empreendimento agrícola tão importante para o país e o mundo.</w:t>
            </w:r>
          </w:p>
          <w:p w14:paraId="4D1C4706" w14:textId="77777777" w:rsidR="00B70617" w:rsidRPr="00B70617" w:rsidRDefault="00B70617" w:rsidP="00B70617">
            <w:pPr>
              <w:spacing w:before="240" w:line="240" w:lineRule="auto"/>
              <w:ind w:firstLine="0"/>
              <w:rPr>
                <w:rFonts w:eastAsia="Calibri"/>
              </w:rPr>
            </w:pPr>
          </w:p>
          <w:p w14:paraId="50DD9F66" w14:textId="77777777" w:rsidR="00B70617" w:rsidRPr="00B70617" w:rsidRDefault="00B70617" w:rsidP="00B70617">
            <w:pPr>
              <w:spacing w:before="240" w:line="240" w:lineRule="auto"/>
              <w:ind w:firstLine="0"/>
              <w:rPr>
                <w:rFonts w:eastAsia="Calibri"/>
              </w:rPr>
            </w:pPr>
            <w:r w:rsidRPr="00B70617">
              <w:rPr>
                <w:rFonts w:eastAsia="Calibri"/>
              </w:rPr>
              <w:t>O Sebrae em Rondônia a partir do ano de 2017 teve papel importante na promoção e desenvolvimento da cafeicultura de Rondônia, tendo em vista os projetos em parceria com o Governo de Rondônia qual promoveu significativos avanços que hoje se consolida com o apoio efetivo do projeto IG – Matas de Rondônia, que tem atuação no desenvolvimento da estratégia de promover comercialmente o café que tem origem na área que corresponde a 15 municípios da região da Zona da Mata de Rondônia.</w:t>
            </w:r>
          </w:p>
          <w:p w14:paraId="6138ED4F" w14:textId="77777777" w:rsidR="00B70617" w:rsidRPr="00B70617" w:rsidRDefault="00B70617" w:rsidP="00B70617">
            <w:pPr>
              <w:spacing w:before="240" w:line="240" w:lineRule="auto"/>
              <w:ind w:firstLine="0"/>
              <w:rPr>
                <w:rFonts w:eastAsia="Calibri"/>
              </w:rPr>
            </w:pPr>
          </w:p>
          <w:p w14:paraId="5FF4E70F" w14:textId="77777777" w:rsidR="00B70617" w:rsidRPr="00B70617" w:rsidRDefault="00B70617" w:rsidP="00B70617">
            <w:pPr>
              <w:spacing w:before="240" w:line="240" w:lineRule="auto"/>
              <w:ind w:firstLine="0"/>
              <w:rPr>
                <w:rFonts w:eastAsia="Calibri"/>
              </w:rPr>
            </w:pPr>
            <w:r w:rsidRPr="00B70617">
              <w:rPr>
                <w:rFonts w:eastAsia="Calibri"/>
              </w:rPr>
              <w:t>A IG – Indicação Geográfica é um instrumento que valoriza os cafés produzidos na origem e promove a região produtora, sendo dever da sociedade em geral dar visibilidade e consumir os cafés de origem.</w:t>
            </w:r>
          </w:p>
          <w:p w14:paraId="515111D9" w14:textId="77777777" w:rsidR="00B70617" w:rsidRPr="00B70617" w:rsidRDefault="00B70617" w:rsidP="00B70617">
            <w:pPr>
              <w:spacing w:before="240" w:line="240" w:lineRule="auto"/>
              <w:ind w:firstLine="0"/>
              <w:rPr>
                <w:rFonts w:eastAsia="Calibri"/>
              </w:rPr>
            </w:pPr>
          </w:p>
          <w:p w14:paraId="2E26A526" w14:textId="77777777" w:rsidR="00B70617" w:rsidRPr="00B70617" w:rsidRDefault="00B70617" w:rsidP="00B70617">
            <w:pPr>
              <w:spacing w:before="240" w:line="240" w:lineRule="auto"/>
              <w:ind w:firstLine="0"/>
              <w:rPr>
                <w:rFonts w:eastAsia="Calibri"/>
              </w:rPr>
            </w:pPr>
            <w:r w:rsidRPr="00B70617">
              <w:rPr>
                <w:rFonts w:eastAsia="Calibri"/>
              </w:rPr>
              <w:t>O pesquisador da Embrapa Rondônia, Enrique Alves, explica que os cafés especiais são mais ricos em açucares, substâncias antioxidantes e lipídeos, entre outros. Além disso, o ponto de torra dos cafés especiais claro ou médio, também podem fazer a diferença quando comparado aos cafés tradicionais, que usam, geralmente, torras escuras e até carbonizadas. “Os grãos de café têm muitos compostos voláteis que podem se perder em torras escuras”, pontua Alves.</w:t>
            </w:r>
          </w:p>
          <w:p w14:paraId="1B9A6B30" w14:textId="77777777" w:rsidR="00B70617" w:rsidRPr="00B70617" w:rsidRDefault="00B70617" w:rsidP="00B70617">
            <w:pPr>
              <w:spacing w:before="240" w:line="240" w:lineRule="auto"/>
              <w:ind w:firstLine="0"/>
              <w:rPr>
                <w:rFonts w:eastAsia="Calibri"/>
              </w:rPr>
            </w:pPr>
          </w:p>
          <w:p w14:paraId="0E0ED5C0" w14:textId="77777777" w:rsidR="00B70617" w:rsidRPr="00B70617" w:rsidRDefault="00B70617" w:rsidP="00B70617">
            <w:pPr>
              <w:spacing w:before="240" w:line="240" w:lineRule="auto"/>
              <w:ind w:firstLine="0"/>
              <w:rPr>
                <w:rFonts w:eastAsia="Calibri"/>
              </w:rPr>
            </w:pPr>
            <w:r w:rsidRPr="00B70617">
              <w:rPr>
                <w:rFonts w:eastAsia="Calibri"/>
              </w:rPr>
              <w:t>CARACTERÍSTICAS E ASPECTOS NUTRICIONAIS</w:t>
            </w:r>
          </w:p>
          <w:p w14:paraId="6A2ADAE6" w14:textId="77777777" w:rsidR="00B70617" w:rsidRPr="00B70617" w:rsidRDefault="00B70617" w:rsidP="00B70617">
            <w:pPr>
              <w:spacing w:before="240" w:line="240" w:lineRule="auto"/>
              <w:ind w:firstLine="0"/>
              <w:rPr>
                <w:rFonts w:eastAsia="Calibri"/>
              </w:rPr>
            </w:pPr>
          </w:p>
          <w:p w14:paraId="091C9395" w14:textId="77777777" w:rsidR="00B70617" w:rsidRPr="00B70617" w:rsidRDefault="00B70617" w:rsidP="00B70617">
            <w:pPr>
              <w:spacing w:before="240" w:line="240" w:lineRule="auto"/>
              <w:ind w:firstLine="0"/>
              <w:rPr>
                <w:rFonts w:eastAsia="Calibri"/>
              </w:rPr>
            </w:pPr>
            <w:r w:rsidRPr="00B70617">
              <w:rPr>
                <w:rFonts w:eastAsia="Calibri"/>
              </w:rPr>
              <w:t xml:space="preserve">A publicação da Embrapa, intitulada Café &amp; Saúde Humana, de autoria dos pesquisadores Ronaldo de Oliveira Encarnação e Darcy Roberto Lima, demonstra que os grãos de café são ricos em sais minerais (3% a 5%) como potássio, magnésio, cálcio, sódio, ferro, manganês, rubídio, zinco, cobre, estrôncio, cromo, vanádio, bário, níquel, cobalto, chumbo, molibdênio, titânio e cádmio. Também possuem uma quantidade considerável de lipídios </w:t>
            </w:r>
            <w:r w:rsidRPr="00B70617">
              <w:rPr>
                <w:rFonts w:eastAsia="Calibri"/>
              </w:rPr>
              <w:lastRenderedPageBreak/>
              <w:t>(10% a 20%), açúcares (35% a 55%) e aminoácidos (2%), substâncias importantes como fontes de energia, além de ácidos clorogênicos (7% a 9%) e niacina ou vitamina PP – vitamina do complexo B (0,5%).</w:t>
            </w:r>
          </w:p>
          <w:p w14:paraId="28566F6E" w14:textId="77777777" w:rsidR="00B70617" w:rsidRPr="00B70617" w:rsidRDefault="00B70617" w:rsidP="00B70617">
            <w:pPr>
              <w:spacing w:before="240" w:line="240" w:lineRule="auto"/>
              <w:ind w:firstLine="0"/>
              <w:rPr>
                <w:rFonts w:eastAsia="Calibri"/>
              </w:rPr>
            </w:pPr>
          </w:p>
          <w:p w14:paraId="16FDA090" w14:textId="77777777" w:rsidR="00B70617" w:rsidRPr="00B70617" w:rsidRDefault="00B70617" w:rsidP="00B70617">
            <w:pPr>
              <w:spacing w:before="240" w:line="240" w:lineRule="auto"/>
              <w:ind w:firstLine="0"/>
              <w:rPr>
                <w:rFonts w:eastAsia="Calibri"/>
              </w:rPr>
            </w:pPr>
            <w:r w:rsidRPr="00B70617">
              <w:rPr>
                <w:rFonts w:eastAsia="Calibri"/>
              </w:rPr>
              <w:t>A bebida do grão possui cafeína, ácidos clorogênicos/quinídeos, niacina, sais minerais e centenas de compostos voláteis responsáveis pelo aroma e o sabor. Do ponto de vista alimentício, todos esses componentes fazem do café uma bebida saudável e rica em propriedades nutricionais, superando as bebidas isotônicas, os refrigerantes e a própria água mineral.</w:t>
            </w:r>
          </w:p>
          <w:p w14:paraId="1B05605F" w14:textId="77777777" w:rsidR="00B70617" w:rsidRPr="00B70617" w:rsidRDefault="00B70617" w:rsidP="00B70617">
            <w:pPr>
              <w:spacing w:before="240" w:line="240" w:lineRule="auto"/>
              <w:ind w:firstLine="0"/>
              <w:rPr>
                <w:rFonts w:eastAsia="Calibri"/>
              </w:rPr>
            </w:pPr>
          </w:p>
          <w:p w14:paraId="384EEEDC" w14:textId="77777777" w:rsidR="00B70617" w:rsidRPr="00B70617" w:rsidRDefault="00B70617" w:rsidP="00B70617">
            <w:pPr>
              <w:spacing w:before="240" w:line="240" w:lineRule="auto"/>
              <w:ind w:firstLine="0"/>
              <w:rPr>
                <w:rFonts w:eastAsia="Calibri"/>
              </w:rPr>
            </w:pPr>
            <w:r w:rsidRPr="00B70617">
              <w:rPr>
                <w:rFonts w:eastAsia="Calibri"/>
              </w:rPr>
              <w:t>Os mesmos autores também mencionam o cuidado da torra para a preservação das propriedades benéficas dos grãos de café. E, que após o processo de torra, a coloração dos grãos deve ser marrom-chocolate, clara ou escura, mas nunca preta como carvão, pois assim, permaneceriam as mesmas quantidades de cafeína, mas um maior teor de cinzas, enquanto os outros componentes mais importantes seriam praticamente destruídos. Somente a cafeína (termoestável) não é destruída com a excessiva torra do café.</w:t>
            </w:r>
          </w:p>
          <w:p w14:paraId="472E394D" w14:textId="77777777" w:rsidR="00B70617" w:rsidRPr="00B70617" w:rsidRDefault="00B70617" w:rsidP="00B70617">
            <w:pPr>
              <w:spacing w:before="240" w:line="240" w:lineRule="auto"/>
              <w:ind w:firstLine="0"/>
              <w:rPr>
                <w:rFonts w:eastAsia="Calibri"/>
              </w:rPr>
            </w:pPr>
          </w:p>
          <w:p w14:paraId="53590E79" w14:textId="77777777" w:rsidR="00B70617" w:rsidRPr="00B70617" w:rsidRDefault="00B70617" w:rsidP="00B70617">
            <w:pPr>
              <w:spacing w:before="240" w:line="240" w:lineRule="auto"/>
              <w:ind w:firstLine="0"/>
              <w:rPr>
                <w:rFonts w:eastAsia="Calibri"/>
              </w:rPr>
            </w:pPr>
            <w:r w:rsidRPr="00B70617">
              <w:rPr>
                <w:rFonts w:eastAsia="Calibri"/>
              </w:rPr>
              <w:t>CUSTO x BENEFÍCIO</w:t>
            </w:r>
          </w:p>
          <w:p w14:paraId="1A8D0715" w14:textId="77777777" w:rsidR="00B70617" w:rsidRPr="00B70617" w:rsidRDefault="00B70617" w:rsidP="00B70617">
            <w:pPr>
              <w:spacing w:before="240" w:line="240" w:lineRule="auto"/>
              <w:ind w:firstLine="0"/>
              <w:rPr>
                <w:rFonts w:eastAsia="Calibri"/>
              </w:rPr>
            </w:pPr>
          </w:p>
          <w:p w14:paraId="2F558347" w14:textId="77777777" w:rsidR="00B70617" w:rsidRPr="00B70617" w:rsidRDefault="00B70617" w:rsidP="00B70617">
            <w:pPr>
              <w:spacing w:before="240" w:line="240" w:lineRule="auto"/>
              <w:ind w:firstLine="0"/>
              <w:rPr>
                <w:rFonts w:eastAsia="Calibri"/>
              </w:rPr>
            </w:pPr>
            <w:r w:rsidRPr="00B70617">
              <w:rPr>
                <w:rFonts w:eastAsia="Calibri"/>
              </w:rPr>
              <w:t>Historicamente, o café da espécie arábica foi considerado mais nobre, puro e de qualidade. Os cafés canéfora, considerados como de segunda linha, serviam para baratear blends (mistura) com arábicas de padrão baixo, ou para uso na indústria de solúveis.</w:t>
            </w:r>
          </w:p>
          <w:p w14:paraId="7E99FBAD" w14:textId="77777777" w:rsidR="00B70617" w:rsidRPr="00B70617" w:rsidRDefault="00B70617" w:rsidP="00B70617">
            <w:pPr>
              <w:spacing w:before="240" w:line="240" w:lineRule="auto"/>
              <w:ind w:firstLine="0"/>
              <w:rPr>
                <w:rFonts w:eastAsia="Calibri"/>
              </w:rPr>
            </w:pPr>
          </w:p>
          <w:p w14:paraId="74592796" w14:textId="77777777" w:rsidR="00B70617" w:rsidRPr="00B70617" w:rsidRDefault="00B70617" w:rsidP="00B70617">
            <w:pPr>
              <w:spacing w:before="240" w:line="240" w:lineRule="auto"/>
              <w:ind w:firstLine="0"/>
              <w:rPr>
                <w:rFonts w:eastAsia="Calibri"/>
              </w:rPr>
            </w:pPr>
            <w:r w:rsidRPr="00B70617">
              <w:rPr>
                <w:rFonts w:eastAsia="Calibri"/>
              </w:rPr>
              <w:t>PARCERIA SEBRAE E EMBRAPA</w:t>
            </w:r>
          </w:p>
          <w:p w14:paraId="1B509C8E" w14:textId="77777777" w:rsidR="00B70617" w:rsidRPr="00B70617" w:rsidRDefault="00B70617" w:rsidP="00B70617">
            <w:pPr>
              <w:spacing w:before="240" w:line="240" w:lineRule="auto"/>
              <w:ind w:firstLine="0"/>
              <w:rPr>
                <w:rFonts w:eastAsia="Calibri"/>
              </w:rPr>
            </w:pPr>
          </w:p>
          <w:p w14:paraId="7E92BF2F" w14:textId="77777777" w:rsidR="00B70617" w:rsidRPr="00B70617" w:rsidRDefault="00B70617" w:rsidP="00B70617">
            <w:pPr>
              <w:spacing w:before="240" w:line="240" w:lineRule="auto"/>
              <w:ind w:firstLine="0"/>
              <w:rPr>
                <w:rFonts w:eastAsia="Calibri"/>
              </w:rPr>
            </w:pPr>
            <w:r w:rsidRPr="00B70617">
              <w:rPr>
                <w:rFonts w:eastAsia="Calibri"/>
              </w:rPr>
              <w:t xml:space="preserve">A parceria entre Sebrae e Embrapa por meio do Projeto de Inteligência Estratégica: agregação de valor para os pequenos negócios rurais tem proporcionado a organização e a customização de conteúdos estratégicos para a implementação ou o aperfeiçoamento de diferentes modelos de negócios. </w:t>
            </w:r>
          </w:p>
          <w:p w14:paraId="5EBD78D7" w14:textId="77777777" w:rsidR="00B70617" w:rsidRPr="00B70617" w:rsidRDefault="00B70617" w:rsidP="00B70617">
            <w:pPr>
              <w:spacing w:before="240" w:line="240" w:lineRule="auto"/>
              <w:ind w:firstLine="0"/>
              <w:rPr>
                <w:rFonts w:eastAsia="Calibri"/>
              </w:rPr>
            </w:pPr>
          </w:p>
          <w:p w14:paraId="25D1B93B" w14:textId="77777777" w:rsidR="00B70617" w:rsidRPr="00B70617" w:rsidRDefault="00B70617" w:rsidP="00B70617">
            <w:pPr>
              <w:spacing w:before="240" w:line="240" w:lineRule="auto"/>
              <w:ind w:firstLine="0"/>
              <w:rPr>
                <w:rFonts w:eastAsia="Calibri"/>
              </w:rPr>
            </w:pPr>
            <w:r w:rsidRPr="00B70617">
              <w:rPr>
                <w:rFonts w:eastAsia="Calibri"/>
              </w:rPr>
              <w:t xml:space="preserve">A Embrapa é uma referência na pesquisa agropecuária e tem desenvolvido tecnologias para o aumento de produtividade das atividades agropecuárias bem, como na integração de sistemas produtivos para a sustentabilidade das propriedades rurais. A tecnologia aplicada realizada pela pesquisa tem gerado transformação e melhores condições para que o produtor esteja adaptado às condições de mercado. </w:t>
            </w:r>
          </w:p>
          <w:p w14:paraId="79BBE033" w14:textId="77777777" w:rsidR="00B70617" w:rsidRPr="00B70617" w:rsidRDefault="00B70617" w:rsidP="00B70617">
            <w:pPr>
              <w:spacing w:before="240" w:line="240" w:lineRule="auto"/>
              <w:ind w:firstLine="0"/>
              <w:rPr>
                <w:rFonts w:eastAsia="Calibri"/>
              </w:rPr>
            </w:pPr>
          </w:p>
          <w:p w14:paraId="37950794" w14:textId="77777777" w:rsidR="00B70617" w:rsidRPr="00B70617" w:rsidRDefault="00B70617" w:rsidP="00B70617">
            <w:pPr>
              <w:spacing w:before="240" w:line="240" w:lineRule="auto"/>
              <w:ind w:firstLine="0"/>
              <w:rPr>
                <w:rFonts w:eastAsia="Calibri"/>
              </w:rPr>
            </w:pPr>
            <w:r w:rsidRPr="00B70617">
              <w:rPr>
                <w:rFonts w:eastAsia="Calibri"/>
              </w:rPr>
              <w:t xml:space="preserve">A parceria Sebrae e Embrapa contribui para o conhecimento aprofundado das necessidades de mercado e das carências tecnológicas dos pequenos negócios rurais gerando conhecimento e soluções que proporcionem o aumento da competitividade dos empreendimentos. </w:t>
            </w:r>
          </w:p>
          <w:p w14:paraId="6B5086C3" w14:textId="77777777" w:rsidR="00B70617" w:rsidRPr="00B70617" w:rsidRDefault="00B70617" w:rsidP="00B70617">
            <w:pPr>
              <w:spacing w:before="240" w:line="240" w:lineRule="auto"/>
              <w:ind w:firstLine="0"/>
              <w:rPr>
                <w:rFonts w:eastAsia="Calibri"/>
              </w:rPr>
            </w:pPr>
          </w:p>
          <w:p w14:paraId="0B4EEA6B" w14:textId="77777777" w:rsidR="00B70617" w:rsidRPr="00B70617" w:rsidRDefault="00B70617" w:rsidP="00B70617">
            <w:pPr>
              <w:spacing w:before="240" w:line="240" w:lineRule="auto"/>
              <w:ind w:firstLine="0"/>
              <w:rPr>
                <w:rFonts w:eastAsia="Calibri"/>
              </w:rPr>
            </w:pPr>
            <w:r w:rsidRPr="00B70617">
              <w:rPr>
                <w:rFonts w:eastAsia="Calibri"/>
              </w:rPr>
              <w:t>Iniciativas como essa fortalecem a transferência de tecnologia aplicada e conectadas às demandas de mercado e contribuem para a geração de impacto e transformação setorial nos territórios.</w:t>
            </w:r>
          </w:p>
          <w:p w14:paraId="6D83BCD9" w14:textId="77777777" w:rsidR="00B70617" w:rsidRPr="00B70617" w:rsidRDefault="00B70617" w:rsidP="00B70617">
            <w:pPr>
              <w:spacing w:before="240" w:line="240" w:lineRule="auto"/>
              <w:ind w:firstLine="0"/>
              <w:rPr>
                <w:rFonts w:eastAsia="Calibri"/>
              </w:rPr>
            </w:pPr>
          </w:p>
          <w:p w14:paraId="71F0B096" w14:textId="77777777" w:rsidR="00B70617" w:rsidRPr="00B70617" w:rsidRDefault="00B70617" w:rsidP="00B70617">
            <w:pPr>
              <w:spacing w:before="240" w:line="240" w:lineRule="auto"/>
              <w:ind w:firstLine="0"/>
              <w:rPr>
                <w:rFonts w:eastAsia="Calibri"/>
              </w:rPr>
            </w:pPr>
            <w:r w:rsidRPr="00B70617">
              <w:rPr>
                <w:rFonts w:eastAsia="Calibri"/>
              </w:rPr>
              <w:t>INOVAÇÃO E SUSTENTABILIDADE</w:t>
            </w:r>
          </w:p>
          <w:p w14:paraId="39B37017" w14:textId="77777777" w:rsidR="00B70617" w:rsidRPr="00B70617" w:rsidRDefault="00B70617" w:rsidP="00B70617">
            <w:pPr>
              <w:spacing w:before="240" w:line="240" w:lineRule="auto"/>
              <w:ind w:firstLine="0"/>
              <w:rPr>
                <w:rFonts w:eastAsia="Calibri"/>
              </w:rPr>
            </w:pPr>
          </w:p>
          <w:p w14:paraId="33DFF71A" w14:textId="77777777" w:rsidR="00B70617" w:rsidRPr="00B70617" w:rsidRDefault="00B70617" w:rsidP="00B70617">
            <w:pPr>
              <w:spacing w:before="240" w:line="240" w:lineRule="auto"/>
              <w:ind w:firstLine="0"/>
              <w:rPr>
                <w:rFonts w:eastAsia="Calibri"/>
              </w:rPr>
            </w:pPr>
            <w:r w:rsidRPr="00B70617">
              <w:rPr>
                <w:rFonts w:eastAsia="Calibri"/>
              </w:rPr>
              <w:t>Durante os últimos anos a equipe do Sebrae em Rondônia e parceiros realizaram visitas técnicas à produtores de cafés especiais para incentivar a adoção de novas práticas de pós-colheita. Os cafeicultores que se apropriaram destas técnicas obtiveram cafés premiados e já fazem parte de um processo de transformação do perfil sensorial dos Robustas Amazônicos, deixando-os ainda mais exóticos e diferenciados.</w:t>
            </w:r>
          </w:p>
          <w:p w14:paraId="321764A2" w14:textId="77777777" w:rsidR="00B70617" w:rsidRPr="00B70617" w:rsidRDefault="00B70617" w:rsidP="00B70617">
            <w:pPr>
              <w:spacing w:before="240" w:line="240" w:lineRule="auto"/>
              <w:ind w:firstLine="0"/>
              <w:rPr>
                <w:rFonts w:eastAsia="Calibri"/>
              </w:rPr>
            </w:pPr>
          </w:p>
          <w:p w14:paraId="467C5991" w14:textId="77777777" w:rsidR="00B70617" w:rsidRPr="00B70617" w:rsidRDefault="00B70617" w:rsidP="00B70617">
            <w:pPr>
              <w:spacing w:before="240" w:line="240" w:lineRule="auto"/>
              <w:ind w:firstLine="0"/>
              <w:rPr>
                <w:rFonts w:eastAsia="Calibri"/>
              </w:rPr>
            </w:pPr>
          </w:p>
          <w:p w14:paraId="2B84EACA" w14:textId="77777777" w:rsidR="00B70617" w:rsidRPr="00B70617" w:rsidRDefault="00B70617" w:rsidP="00B70617">
            <w:pPr>
              <w:spacing w:before="240" w:line="240" w:lineRule="auto"/>
              <w:ind w:firstLine="0"/>
              <w:rPr>
                <w:rFonts w:eastAsia="Calibri"/>
              </w:rPr>
            </w:pPr>
          </w:p>
          <w:p w14:paraId="25301C6E" w14:textId="77777777" w:rsidR="00B70617" w:rsidRPr="00B70617" w:rsidRDefault="00B70617" w:rsidP="00B70617">
            <w:pPr>
              <w:spacing w:before="240" w:line="240" w:lineRule="auto"/>
              <w:ind w:firstLine="0"/>
              <w:rPr>
                <w:rFonts w:eastAsia="Calibri"/>
              </w:rPr>
            </w:pPr>
            <w:r w:rsidRPr="00B70617">
              <w:rPr>
                <w:rFonts w:eastAsia="Calibri"/>
              </w:rPr>
              <w:t>PREMIAÇÕES</w:t>
            </w:r>
          </w:p>
          <w:p w14:paraId="41BF61A8" w14:textId="77777777" w:rsidR="00B70617" w:rsidRPr="00B70617" w:rsidRDefault="00B70617" w:rsidP="00B70617">
            <w:pPr>
              <w:spacing w:before="240" w:line="240" w:lineRule="auto"/>
              <w:ind w:firstLine="0"/>
              <w:rPr>
                <w:rFonts w:eastAsia="Calibri"/>
              </w:rPr>
            </w:pPr>
          </w:p>
          <w:p w14:paraId="66123EA0" w14:textId="77777777" w:rsidR="00B70617" w:rsidRPr="00B70617" w:rsidRDefault="00B70617" w:rsidP="00B70617">
            <w:pPr>
              <w:spacing w:before="240" w:line="240" w:lineRule="auto"/>
              <w:ind w:firstLine="0"/>
              <w:rPr>
                <w:rFonts w:eastAsia="Calibri"/>
              </w:rPr>
            </w:pPr>
            <w:r w:rsidRPr="00B70617">
              <w:rPr>
                <w:rFonts w:eastAsia="Calibri"/>
              </w:rPr>
              <w:t>Estes bons resultados, após investimentos realizados pelo Sebrae em Rondônia e parceiros, têm como principal objetivo valorizar o trabalho que produtores de café estão realizando no coração da floresta amazônica e, com isso, dar protagonismo a eles, sempre com foco na produção com qualidade e sustentabilidade.</w:t>
            </w:r>
          </w:p>
          <w:p w14:paraId="64F95CBC" w14:textId="77777777" w:rsidR="00B70617" w:rsidRPr="00B70617" w:rsidRDefault="00B70617" w:rsidP="00B70617">
            <w:pPr>
              <w:spacing w:before="240" w:line="240" w:lineRule="auto"/>
              <w:ind w:firstLine="0"/>
              <w:rPr>
                <w:rFonts w:eastAsia="Calibri"/>
              </w:rPr>
            </w:pPr>
          </w:p>
          <w:p w14:paraId="4D67859E" w14:textId="77777777" w:rsidR="00B70617" w:rsidRPr="00B70617" w:rsidRDefault="00B70617" w:rsidP="00B70617">
            <w:pPr>
              <w:spacing w:before="240" w:line="240" w:lineRule="auto"/>
              <w:ind w:firstLine="0"/>
              <w:rPr>
                <w:rFonts w:eastAsia="Calibri"/>
              </w:rPr>
            </w:pPr>
            <w:r w:rsidRPr="00B70617">
              <w:rPr>
                <w:rFonts w:eastAsia="Calibri"/>
              </w:rPr>
              <w:t>Produtores de Alto Alegre dos Parecis, por exemplo, fizeram lotes de cafés aplicando o ‘Sprouting Process’ – tipo de fermentação positiva desenvolvida pelo barista Leo Moço – e conseguiram obter bebidas excelentes. O mesmo café, que no método natural não chegou a 80 pontos, com essa fermentação atingiu mais de 80. Isso significa mais sabor e valor para o produto.</w:t>
            </w:r>
          </w:p>
          <w:p w14:paraId="177DD8C4" w14:textId="77777777" w:rsidR="00B70617" w:rsidRPr="00B70617" w:rsidRDefault="00B70617" w:rsidP="00B70617">
            <w:pPr>
              <w:spacing w:before="240" w:line="240" w:lineRule="auto"/>
              <w:ind w:firstLine="0"/>
              <w:rPr>
                <w:rFonts w:eastAsia="Calibri"/>
              </w:rPr>
            </w:pPr>
          </w:p>
          <w:p w14:paraId="51F18CED" w14:textId="77777777" w:rsidR="00B70617" w:rsidRPr="00B70617" w:rsidRDefault="00B70617" w:rsidP="00B70617">
            <w:pPr>
              <w:spacing w:before="240" w:line="240" w:lineRule="auto"/>
              <w:ind w:firstLine="0"/>
              <w:rPr>
                <w:rFonts w:eastAsia="Calibri"/>
              </w:rPr>
            </w:pPr>
            <w:r w:rsidRPr="00B70617">
              <w:rPr>
                <w:rFonts w:eastAsia="Calibri"/>
              </w:rPr>
              <w:t>Em concursos estaduais e nacionais já tivemos produtores classificados entre os 10 melhores, inclusive ganhando prêmio em primeiro lugar na categoria ‘Sustentabilidade’ e em segundo lugar na categoria ‘Qualidade’.</w:t>
            </w:r>
          </w:p>
          <w:p w14:paraId="3AB84301" w14:textId="77777777" w:rsidR="00B70617" w:rsidRPr="00B70617" w:rsidRDefault="00B70617" w:rsidP="00B70617">
            <w:pPr>
              <w:spacing w:before="240" w:line="240" w:lineRule="auto"/>
              <w:ind w:firstLine="0"/>
              <w:rPr>
                <w:rFonts w:eastAsia="Calibri"/>
              </w:rPr>
            </w:pPr>
          </w:p>
          <w:p w14:paraId="49EF4E36" w14:textId="77777777" w:rsidR="00B70617" w:rsidRPr="00B70617" w:rsidRDefault="00B70617" w:rsidP="00B70617">
            <w:pPr>
              <w:spacing w:before="240" w:line="240" w:lineRule="auto"/>
              <w:ind w:firstLine="0"/>
              <w:rPr>
                <w:rFonts w:eastAsia="Calibri"/>
              </w:rPr>
            </w:pPr>
            <w:r w:rsidRPr="00B70617">
              <w:rPr>
                <w:rFonts w:eastAsia="Calibri"/>
              </w:rPr>
              <w:t>PROMOÇÃO</w:t>
            </w:r>
          </w:p>
          <w:p w14:paraId="7C984714" w14:textId="77777777" w:rsidR="00B70617" w:rsidRPr="00B70617" w:rsidRDefault="00B70617" w:rsidP="00B70617">
            <w:pPr>
              <w:spacing w:before="240" w:line="240" w:lineRule="auto"/>
              <w:ind w:firstLine="0"/>
              <w:rPr>
                <w:rFonts w:eastAsia="Calibri"/>
              </w:rPr>
            </w:pPr>
          </w:p>
          <w:p w14:paraId="78EBC5D2" w14:textId="77777777" w:rsidR="00B70617" w:rsidRPr="00B70617" w:rsidRDefault="00B70617" w:rsidP="00B70617">
            <w:pPr>
              <w:spacing w:before="240" w:line="240" w:lineRule="auto"/>
              <w:ind w:firstLine="0"/>
              <w:rPr>
                <w:rFonts w:eastAsia="Calibri"/>
              </w:rPr>
            </w:pPr>
            <w:r w:rsidRPr="00B70617">
              <w:rPr>
                <w:rFonts w:eastAsia="Calibri"/>
              </w:rPr>
              <w:t>O Sebrae em Rondônia tem oferecido aos parceiros e cliente amostras dos cafés Robustas Amazônicos através de ações realizadas pelas unidades regionais e eventos com participação das diretorias através de trocas protocolares, onde o parceiro/cliente tem a oportunidade de apreciar o produto regional e com grande aceitação.</w:t>
            </w:r>
          </w:p>
          <w:p w14:paraId="0810F75D" w14:textId="77777777" w:rsidR="00B70617" w:rsidRPr="00B70617" w:rsidRDefault="00B70617" w:rsidP="00B70617">
            <w:pPr>
              <w:spacing w:before="240" w:line="240" w:lineRule="auto"/>
              <w:ind w:firstLine="0"/>
              <w:rPr>
                <w:rFonts w:eastAsia="Calibri"/>
              </w:rPr>
            </w:pPr>
          </w:p>
          <w:p w14:paraId="0DEE57D2" w14:textId="77777777" w:rsidR="00B70617" w:rsidRPr="00B70617" w:rsidRDefault="00B70617" w:rsidP="00B70617">
            <w:pPr>
              <w:spacing w:before="240" w:line="240" w:lineRule="auto"/>
              <w:ind w:firstLine="0"/>
              <w:rPr>
                <w:rFonts w:eastAsia="Calibri"/>
              </w:rPr>
            </w:pPr>
            <w:r w:rsidRPr="00B70617">
              <w:rPr>
                <w:rFonts w:eastAsia="Calibri"/>
              </w:rPr>
              <w:t>OPORTUNIDADE PARA OS CAFÉS ROBUSTAS AMAZÔNICOS ESPECIAIS</w:t>
            </w:r>
          </w:p>
          <w:p w14:paraId="0BABCD23" w14:textId="77777777" w:rsidR="00B70617" w:rsidRPr="00B70617" w:rsidRDefault="00B70617" w:rsidP="00B70617">
            <w:pPr>
              <w:spacing w:before="240" w:line="240" w:lineRule="auto"/>
              <w:ind w:firstLine="0"/>
              <w:rPr>
                <w:rFonts w:eastAsia="Calibri"/>
              </w:rPr>
            </w:pPr>
          </w:p>
          <w:p w14:paraId="58E973E2" w14:textId="77777777" w:rsidR="00B70617" w:rsidRPr="00B70617" w:rsidRDefault="00B70617" w:rsidP="00B70617">
            <w:pPr>
              <w:spacing w:before="240" w:line="240" w:lineRule="auto"/>
              <w:ind w:firstLine="0"/>
              <w:rPr>
                <w:rFonts w:eastAsia="Calibri"/>
              </w:rPr>
            </w:pPr>
            <w:r w:rsidRPr="00B70617">
              <w:rPr>
                <w:rFonts w:eastAsia="Calibri"/>
              </w:rPr>
              <w:t xml:space="preserve">O consumidor está interessado na origem dos alimentos e no apelo de sustentabilidade. O mercado mundial de café valoriza muito o comércio justo – fair trade − e poderia passar a pagar um green forest trade para os cafés amazônicos com viés ecológico. </w:t>
            </w:r>
          </w:p>
          <w:p w14:paraId="0F0F7979" w14:textId="77777777" w:rsidR="00B70617" w:rsidRPr="00B70617" w:rsidRDefault="00B70617" w:rsidP="00B70617">
            <w:pPr>
              <w:spacing w:before="240" w:line="240" w:lineRule="auto"/>
              <w:ind w:firstLine="0"/>
              <w:rPr>
                <w:rFonts w:eastAsia="Calibri"/>
              </w:rPr>
            </w:pPr>
            <w:r w:rsidRPr="00B70617">
              <w:rPr>
                <w:rFonts w:eastAsia="Calibri"/>
              </w:rPr>
              <w:t xml:space="preserve">Outra oportunidade para a cafeicultura familiar está na produção e comercialização dos microlotes de Robustas Amazônicos Especiais. Por serem plantas de fecundação cruzada, têm muito o que explorar a sua variabilidade genética em regiões do Estado com diferentes climas, solos e aspectos culturais de produção. </w:t>
            </w:r>
          </w:p>
          <w:p w14:paraId="5FB3DEA9" w14:textId="77777777" w:rsidR="00B70617" w:rsidRPr="00B70617" w:rsidRDefault="00B70617" w:rsidP="00B70617">
            <w:pPr>
              <w:spacing w:before="240" w:line="240" w:lineRule="auto"/>
              <w:ind w:firstLine="0"/>
              <w:rPr>
                <w:rFonts w:eastAsia="Calibri"/>
              </w:rPr>
            </w:pPr>
          </w:p>
          <w:p w14:paraId="1271F315" w14:textId="77777777" w:rsidR="00B70617" w:rsidRPr="00B70617" w:rsidRDefault="00B70617" w:rsidP="00B70617">
            <w:pPr>
              <w:spacing w:before="240" w:line="240" w:lineRule="auto"/>
              <w:ind w:firstLine="0"/>
              <w:rPr>
                <w:rFonts w:eastAsia="Calibri"/>
              </w:rPr>
            </w:pPr>
            <w:r w:rsidRPr="00B70617">
              <w:rPr>
                <w:rFonts w:eastAsia="Calibri"/>
              </w:rPr>
              <w:t>O movimento de reconhecimento da qualidade sensorial dos cafés canéforas finos está em franca evolução. Cultivados em regiões que começam a ser reconhecidas como centros de origem de bebidas especiais da espécie, por exemplo, as Matas de Rondônia para Robustas Amazônicos (terroir amazônico) e os Conilons das montanhas capixabas ou planícies baianas. São cafés que vêm surpreendendo o Brasil e o mundo pela colheita seletiva de frutos maduros e secagem cuidadosa. Técnicas mais modernas de fermentação induzida ou positiva também são realizadas nesses cafés, que têm apresentado nuances de aromas e sabores diferenciados.</w:t>
            </w:r>
          </w:p>
          <w:p w14:paraId="38871F82" w14:textId="77777777" w:rsidR="00B70617" w:rsidRPr="00B70617" w:rsidRDefault="00B70617" w:rsidP="00B70617">
            <w:pPr>
              <w:spacing w:before="240" w:line="240" w:lineRule="auto"/>
              <w:ind w:firstLine="0"/>
              <w:rPr>
                <w:rFonts w:eastAsia="Calibri"/>
              </w:rPr>
            </w:pPr>
          </w:p>
          <w:p w14:paraId="32D07E84" w14:textId="77777777" w:rsidR="00B70617" w:rsidRPr="00B70617" w:rsidRDefault="00B70617" w:rsidP="00B70617">
            <w:pPr>
              <w:spacing w:before="240" w:line="240" w:lineRule="auto"/>
              <w:ind w:firstLine="0"/>
              <w:rPr>
                <w:rFonts w:eastAsia="Calibri"/>
              </w:rPr>
            </w:pPr>
            <w:r w:rsidRPr="00B70617">
              <w:rPr>
                <w:rFonts w:eastAsia="Calibri"/>
              </w:rPr>
              <w:t>DA AQUISIÇÃO</w:t>
            </w:r>
          </w:p>
          <w:p w14:paraId="039261F4" w14:textId="77777777" w:rsidR="00B70617" w:rsidRPr="00B70617" w:rsidRDefault="00B70617" w:rsidP="00B70617">
            <w:pPr>
              <w:spacing w:before="240" w:line="240" w:lineRule="auto"/>
              <w:ind w:firstLine="0"/>
              <w:rPr>
                <w:rFonts w:eastAsia="Calibri"/>
              </w:rPr>
            </w:pPr>
          </w:p>
          <w:p w14:paraId="21C47282" w14:textId="77777777" w:rsidR="00B70617" w:rsidRPr="00B70617" w:rsidRDefault="00B70617" w:rsidP="00B70617">
            <w:pPr>
              <w:spacing w:before="240" w:line="240" w:lineRule="auto"/>
              <w:ind w:firstLine="0"/>
              <w:rPr>
                <w:rFonts w:eastAsia="Calibri"/>
              </w:rPr>
            </w:pPr>
            <w:r w:rsidRPr="00B70617">
              <w:rPr>
                <w:rFonts w:eastAsia="Calibri"/>
              </w:rPr>
              <w:t>Por incentivo do Sebrae em Rondônia alguns produtores rurais deram início ao beneficiamento do café criando marcas próprias sendo vendidas diretamente no mercado. Por ser o Sebrae em Rondônia realizador de projetos que visam apoiar a cafeicultura, este fato sugere que a entidade valorize os cafés de Rondônia, passando a adquirir diretamente dos produtores de cafés especiais, que fazem parte da Região com Indicação Geográfica Matas de Rondônia, para atender suas Unidades de Atendimento, demonstrando o compromisso com o propósito de fortalecer a cafeicultura de Rondônia, desenvolvendo maior sustentabilidade e valorização da agricultura familiar na região.</w:t>
            </w:r>
          </w:p>
          <w:p w14:paraId="0869A6CB" w14:textId="77777777" w:rsidR="00B70617" w:rsidRPr="00B70617" w:rsidRDefault="00B70617" w:rsidP="00B70617">
            <w:pPr>
              <w:spacing w:before="240" w:line="240" w:lineRule="auto"/>
              <w:ind w:firstLine="0"/>
              <w:rPr>
                <w:rFonts w:eastAsia="Calibri"/>
              </w:rPr>
            </w:pPr>
          </w:p>
          <w:p w14:paraId="58306AC0" w14:textId="77777777" w:rsidR="00B70617" w:rsidRPr="00B70617" w:rsidRDefault="00B70617" w:rsidP="00B70617">
            <w:pPr>
              <w:spacing w:before="240" w:line="240" w:lineRule="auto"/>
              <w:ind w:firstLine="0"/>
              <w:rPr>
                <w:rFonts w:eastAsia="Calibri"/>
              </w:rPr>
            </w:pPr>
            <w:r w:rsidRPr="00B70617">
              <w:rPr>
                <w:rFonts w:eastAsia="Calibri"/>
              </w:rPr>
              <w:t>O Artigo 26, §1º da Lei nº 14.133/2021, juntamente com o caput do artigo, aborda a possibilidade de a administração pública, em determinadas situações, justificar a contratação direta com base em critérios de desenvolvimento sustentável, incentivo à economia local e valorização da produção regional. Isso significa que, ao invés de se restringir apenas aos critérios tradicionais de economicidade e vantajosidade, a administração pode considerar também o impacto da contratação no desenvolvimento local, na geração de empregos e renda na região, e na promoção de práticas sustentáveis. </w:t>
            </w:r>
          </w:p>
          <w:p w14:paraId="547C19A5" w14:textId="77777777" w:rsidR="00B70617" w:rsidRPr="00B70617" w:rsidRDefault="00B70617" w:rsidP="00B70617">
            <w:pPr>
              <w:spacing w:before="240" w:line="240" w:lineRule="auto"/>
              <w:ind w:firstLine="0"/>
              <w:rPr>
                <w:rFonts w:eastAsia="Calibri"/>
              </w:rPr>
            </w:pPr>
          </w:p>
          <w:p w14:paraId="37F0BD3D" w14:textId="77777777" w:rsidR="00B70617" w:rsidRPr="00B70617" w:rsidRDefault="00B70617" w:rsidP="00B70617">
            <w:pPr>
              <w:spacing w:before="240" w:line="240" w:lineRule="auto"/>
              <w:ind w:firstLine="0"/>
              <w:rPr>
                <w:rFonts w:eastAsia="Calibri"/>
              </w:rPr>
            </w:pPr>
            <w:r w:rsidRPr="00B70617">
              <w:rPr>
                <w:rFonts w:eastAsia="Calibri"/>
              </w:rPr>
              <w:t>A Lei nº 11.326/2006 estabelece diretrizes para a Política Nacional da Agricultura Familiar, que visa beneficiar os agricultores familiares com políticas públicas, incluindo compras públicas, especialmente quando articuladas com programas de desenvolvimento territorial.</w:t>
            </w:r>
          </w:p>
          <w:p w14:paraId="29988F06" w14:textId="77777777" w:rsidR="00B70617" w:rsidRPr="00B70617" w:rsidRDefault="00B70617" w:rsidP="00B70617">
            <w:pPr>
              <w:spacing w:before="240" w:line="240" w:lineRule="auto"/>
              <w:ind w:firstLine="0"/>
              <w:rPr>
                <w:rFonts w:eastAsia="Calibri"/>
              </w:rPr>
            </w:pPr>
          </w:p>
          <w:p w14:paraId="5CB3A60E" w14:textId="77777777" w:rsidR="00B70617" w:rsidRPr="00B70617" w:rsidRDefault="00B70617" w:rsidP="00B70617">
            <w:pPr>
              <w:spacing w:before="240" w:line="240" w:lineRule="auto"/>
              <w:ind w:firstLine="0"/>
              <w:rPr>
                <w:rFonts w:eastAsia="Calibri"/>
              </w:rPr>
            </w:pPr>
            <w:r w:rsidRPr="00B70617">
              <w:rPr>
                <w:rFonts w:eastAsia="Calibri"/>
              </w:rPr>
              <w:t>A Lei nº 14.628/2023, que institui o Programa de Aquisição de Alimentos (PAA), reforça esse movimento ao estabelecer que a administração pública pode adquirir, de forma direta e simplificada, alimentos produzidos por agricultores familiares, povos e comunidades tradicionais, e empreendedores da economia solidária. O PAA tem como objetivos principais a promoção da segurança alimentar e nutricional, o fortalecimento da agricultura familiar, e o fomento ao desenvolvimento econômico e social local. A lei também estimula práticas sustentáveis de produção e consumo, alinhando-se aos princípios da Lei nº 14.133/2021 e da legislação correlata, ao permitir que critérios como regionalidade, sazonalidade e sustentabilidade sejam considerados nas contratações públicas.</w:t>
            </w:r>
          </w:p>
          <w:p w14:paraId="72F64EDC" w14:textId="77777777" w:rsidR="00B70617" w:rsidRPr="00B70617" w:rsidRDefault="00B70617" w:rsidP="00B70617">
            <w:pPr>
              <w:spacing w:before="240" w:line="240" w:lineRule="auto"/>
              <w:ind w:firstLine="0"/>
              <w:rPr>
                <w:rFonts w:eastAsia="Calibri"/>
              </w:rPr>
            </w:pPr>
          </w:p>
          <w:p w14:paraId="6E3C3DB6" w14:textId="77777777" w:rsidR="00B70617" w:rsidRPr="00B70617" w:rsidRDefault="00B70617" w:rsidP="00B70617">
            <w:pPr>
              <w:spacing w:before="240" w:line="240" w:lineRule="auto"/>
              <w:ind w:firstLine="0"/>
              <w:rPr>
                <w:rFonts w:eastAsia="Calibri"/>
              </w:rPr>
            </w:pPr>
            <w:r w:rsidRPr="00B70617">
              <w:rPr>
                <w:rFonts w:eastAsia="Calibri"/>
              </w:rPr>
              <w:t>O Decreto nº 8.473/2015, que institui o Programa Nacional de Resíduos Sólidos Urbanos (PNRSU), e a legislação sobre compras públicas sustentáveis permitem que a administração pública priorize produtos de base local ou regional, com critérios de sustentabilidade e que gerem impacto positivo nas comunidades locais.</w:t>
            </w:r>
          </w:p>
          <w:p w14:paraId="18186F9F" w14:textId="77777777" w:rsidR="00B70617" w:rsidRPr="00B70617" w:rsidRDefault="00B70617" w:rsidP="00B70617">
            <w:pPr>
              <w:spacing w:before="240" w:line="240" w:lineRule="auto"/>
              <w:ind w:firstLine="0"/>
              <w:rPr>
                <w:rFonts w:eastAsia="Calibri"/>
              </w:rPr>
            </w:pPr>
          </w:p>
          <w:p w14:paraId="262757D3" w14:textId="791989C6" w:rsidR="00EE77CF" w:rsidRDefault="00B70617" w:rsidP="00B70617">
            <w:pPr>
              <w:spacing w:before="240" w:line="240" w:lineRule="auto"/>
              <w:ind w:firstLine="0"/>
              <w:rPr>
                <w:rFonts w:eastAsia="Calibri"/>
              </w:rPr>
            </w:pPr>
            <w:r>
              <w:rPr>
                <w:rFonts w:eastAsia="Calibri"/>
              </w:rPr>
              <w:t xml:space="preserve">O </w:t>
            </w:r>
            <w:r w:rsidRPr="00B70617">
              <w:rPr>
                <w:rFonts w:eastAsia="Calibri"/>
              </w:rPr>
              <w:t>Acórdão TCU nº 1.747/2011 - Plenário, de fato, reconhece a possibilidade de utilização de critérios de desenvolvimento regional em licitações, desde que devidamente justificados e não comprometam a competitividade do certame.</w:t>
            </w:r>
          </w:p>
          <w:p w14:paraId="104B7FCB" w14:textId="31DA5867" w:rsidR="00B70617" w:rsidRPr="00B70617" w:rsidRDefault="00B70617" w:rsidP="00B70617">
            <w:pPr>
              <w:spacing w:before="240" w:line="240" w:lineRule="auto"/>
              <w:ind w:firstLine="0"/>
              <w:rPr>
                <w:rFonts w:eastAsia="Calibri"/>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DETALHAMENTO/ESPECIFICAÇÃO DO OBJETO</w:t>
            </w:r>
            <w:r w:rsidR="00AC59E0" w:rsidRPr="00EA6617">
              <w:rPr>
                <w:b/>
                <w:bCs/>
                <w:sz w:val="24"/>
                <w:szCs w:val="24"/>
              </w:rPr>
              <w:t>:</w:t>
            </w:r>
          </w:p>
          <w:p w14:paraId="311F972A" w14:textId="77777777" w:rsidR="00C41792" w:rsidRPr="00C41792" w:rsidRDefault="00C41792" w:rsidP="00C41792">
            <w:pPr>
              <w:tabs>
                <w:tab w:val="left" w:pos="320"/>
              </w:tabs>
              <w:spacing w:after="0" w:line="276" w:lineRule="auto"/>
              <w:ind w:firstLine="0"/>
              <w:rPr>
                <w:color w:val="auto"/>
                <w:sz w:val="24"/>
                <w:szCs w:val="24"/>
              </w:rPr>
            </w:pPr>
          </w:p>
          <w:tbl>
            <w:tblPr>
              <w:tblW w:w="8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4"/>
              <w:gridCol w:w="4489"/>
              <w:gridCol w:w="1134"/>
              <w:gridCol w:w="906"/>
              <w:gridCol w:w="844"/>
              <w:gridCol w:w="829"/>
            </w:tblGrid>
            <w:tr w:rsidR="00C41792" w:rsidRPr="00C41792" w14:paraId="1BB22C5B" w14:textId="77777777" w:rsidTr="00C41792">
              <w:trPr>
                <w:trHeight w:val="352"/>
                <w:jc w:val="center"/>
              </w:trPr>
              <w:tc>
                <w:tcPr>
                  <w:tcW w:w="6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3F6E99F" w14:textId="77777777" w:rsidR="00C41792" w:rsidRPr="00C41792" w:rsidRDefault="00C41792" w:rsidP="00C41792">
                  <w:pPr>
                    <w:spacing w:after="0" w:line="240" w:lineRule="auto"/>
                    <w:ind w:firstLine="0"/>
                    <w:jc w:val="center"/>
                    <w:rPr>
                      <w:rFonts w:eastAsia="Times New Roman"/>
                      <w:b/>
                      <w:bCs/>
                      <w:color w:val="000000"/>
                      <w:kern w:val="0"/>
                      <w:sz w:val="18"/>
                      <w:szCs w:val="18"/>
                      <w:lang w:eastAsia="pt-BR"/>
                    </w:rPr>
                  </w:pPr>
                  <w:r w:rsidRPr="00C41792">
                    <w:rPr>
                      <w:rFonts w:eastAsia="Times New Roman"/>
                      <w:b/>
                      <w:bCs/>
                      <w:color w:val="000000"/>
                      <w:sz w:val="18"/>
                      <w:szCs w:val="18"/>
                      <w:lang w:eastAsia="pt-BR"/>
                    </w:rPr>
                    <w:t>Item</w:t>
                  </w:r>
                </w:p>
              </w:tc>
              <w:tc>
                <w:tcPr>
                  <w:tcW w:w="4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6D378D"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Especificação Do Produto</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2F8FE4E"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Marca de Referência</w:t>
                  </w:r>
                </w:p>
              </w:tc>
              <w:tc>
                <w:tcPr>
                  <w:tcW w:w="9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40C742"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Medida</w:t>
                  </w:r>
                </w:p>
              </w:tc>
              <w:tc>
                <w:tcPr>
                  <w:tcW w:w="8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1290F6A"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Pedido Mínimo</w:t>
                  </w:r>
                </w:p>
              </w:tc>
              <w:tc>
                <w:tcPr>
                  <w:tcW w:w="82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410038" w14:textId="77777777" w:rsidR="00C41792" w:rsidRPr="00C41792" w:rsidRDefault="00C41792" w:rsidP="00C41792">
                  <w:pPr>
                    <w:spacing w:after="0" w:line="240" w:lineRule="auto"/>
                    <w:ind w:firstLine="0"/>
                    <w:jc w:val="center"/>
                    <w:rPr>
                      <w:rFonts w:eastAsia="Times New Roman"/>
                      <w:b/>
                      <w:bCs/>
                      <w:color w:val="000000"/>
                      <w:sz w:val="18"/>
                      <w:szCs w:val="18"/>
                      <w:lang w:eastAsia="pt-BR"/>
                    </w:rPr>
                  </w:pPr>
                  <w:r w:rsidRPr="00C41792">
                    <w:rPr>
                      <w:rFonts w:eastAsia="Times New Roman"/>
                      <w:b/>
                      <w:bCs/>
                      <w:color w:val="000000"/>
                      <w:sz w:val="18"/>
                      <w:szCs w:val="18"/>
                      <w:lang w:eastAsia="pt-BR"/>
                    </w:rPr>
                    <w:t>Qtde</w:t>
                  </w:r>
                </w:p>
              </w:tc>
            </w:tr>
            <w:tr w:rsidR="00C41792" w:rsidRPr="00C41792" w14:paraId="38E66BE6" w14:textId="77777777" w:rsidTr="00C41792">
              <w:trPr>
                <w:trHeight w:val="352"/>
                <w:jc w:val="center"/>
              </w:trPr>
              <w:tc>
                <w:tcPr>
                  <w:tcW w:w="644" w:type="dxa"/>
                  <w:tcBorders>
                    <w:top w:val="single" w:sz="4" w:space="0" w:color="auto"/>
                    <w:left w:val="single" w:sz="4" w:space="0" w:color="auto"/>
                    <w:bottom w:val="single" w:sz="4" w:space="0" w:color="auto"/>
                    <w:right w:val="single" w:sz="4" w:space="0" w:color="auto"/>
                  </w:tcBorders>
                  <w:noWrap/>
                  <w:vAlign w:val="center"/>
                  <w:hideMark/>
                </w:tcPr>
                <w:p w14:paraId="1D5C4D08"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1</w:t>
                  </w:r>
                </w:p>
              </w:tc>
              <w:tc>
                <w:tcPr>
                  <w:tcW w:w="4489" w:type="dxa"/>
                  <w:tcBorders>
                    <w:top w:val="single" w:sz="4" w:space="0" w:color="auto"/>
                    <w:left w:val="single" w:sz="4" w:space="0" w:color="auto"/>
                    <w:bottom w:val="single" w:sz="4" w:space="0" w:color="auto"/>
                    <w:right w:val="single" w:sz="4" w:space="0" w:color="auto"/>
                  </w:tcBorders>
                  <w:vAlign w:val="center"/>
                </w:tcPr>
                <w:p w14:paraId="7903DCF2"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r w:rsidRPr="00C41792">
                    <w:rPr>
                      <w:rFonts w:eastAsia="Times New Roman"/>
                      <w:color w:val="000000"/>
                      <w:sz w:val="18"/>
                      <w:szCs w:val="18"/>
                      <w:lang w:eastAsia="pt-BR"/>
                    </w:rPr>
                    <w:t>Café torrado e moído, torra média, considerado especial, com pontuação igual ou superior a 80 pontos, embalagem em pacote aluminizado de 250g, com registro no MAPA.</w:t>
                  </w:r>
                </w:p>
                <w:p w14:paraId="2440187A"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p>
                <w:p w14:paraId="49F7D969" w14:textId="77777777" w:rsidR="00C41792" w:rsidRPr="00C41792" w:rsidRDefault="00C41792" w:rsidP="00C41792">
                  <w:pPr>
                    <w:autoSpaceDE w:val="0"/>
                    <w:autoSpaceDN w:val="0"/>
                    <w:adjustRightInd w:val="0"/>
                    <w:spacing w:after="0" w:line="240" w:lineRule="auto"/>
                    <w:ind w:firstLine="0"/>
                    <w:rPr>
                      <w:rFonts w:eastAsia="Times New Roman"/>
                      <w:color w:val="000000"/>
                      <w:sz w:val="18"/>
                      <w:szCs w:val="18"/>
                      <w:lang w:eastAsia="pt-BR"/>
                    </w:rPr>
                  </w:pPr>
                  <w:r w:rsidRPr="00C41792">
                    <w:rPr>
                      <w:rFonts w:eastAsia="Times New Roman"/>
                      <w:b/>
                      <w:color w:val="000000"/>
                      <w:sz w:val="18"/>
                      <w:szCs w:val="18"/>
                      <w:lang w:eastAsia="pt-BR"/>
                    </w:rPr>
                    <w:t>Validade:</w:t>
                  </w:r>
                  <w:r w:rsidRPr="00C41792">
                    <w:rPr>
                      <w:rFonts w:eastAsia="Times New Roman"/>
                      <w:color w:val="000000"/>
                      <w:sz w:val="18"/>
                      <w:szCs w:val="18"/>
                      <w:lang w:eastAsia="pt-BR"/>
                    </w:rPr>
                    <w:t xml:space="preserve"> não inferior a 6 (seis) meses.</w:t>
                  </w:r>
                </w:p>
              </w:tc>
              <w:tc>
                <w:tcPr>
                  <w:tcW w:w="1134" w:type="dxa"/>
                  <w:tcBorders>
                    <w:top w:val="single" w:sz="4" w:space="0" w:color="auto"/>
                    <w:left w:val="single" w:sz="4" w:space="0" w:color="auto"/>
                    <w:bottom w:val="single" w:sz="4" w:space="0" w:color="auto"/>
                    <w:right w:val="single" w:sz="4" w:space="0" w:color="auto"/>
                  </w:tcBorders>
                  <w:hideMark/>
                </w:tcPr>
                <w:p w14:paraId="445C69DC"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Café Don Bento, Café Lagoa da Mata, Hel Café, Tribos ou de melhor qualidade</w:t>
                  </w:r>
                </w:p>
              </w:tc>
              <w:tc>
                <w:tcPr>
                  <w:tcW w:w="906" w:type="dxa"/>
                  <w:tcBorders>
                    <w:top w:val="single" w:sz="4" w:space="0" w:color="auto"/>
                    <w:left w:val="single" w:sz="4" w:space="0" w:color="auto"/>
                    <w:bottom w:val="single" w:sz="4" w:space="0" w:color="auto"/>
                    <w:right w:val="single" w:sz="4" w:space="0" w:color="auto"/>
                  </w:tcBorders>
                  <w:vAlign w:val="center"/>
                  <w:hideMark/>
                </w:tcPr>
                <w:p w14:paraId="2855F929"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Unidade</w:t>
                  </w:r>
                </w:p>
              </w:tc>
              <w:tc>
                <w:tcPr>
                  <w:tcW w:w="844" w:type="dxa"/>
                  <w:tcBorders>
                    <w:top w:val="single" w:sz="4" w:space="0" w:color="auto"/>
                    <w:left w:val="single" w:sz="4" w:space="0" w:color="auto"/>
                    <w:bottom w:val="single" w:sz="4" w:space="0" w:color="auto"/>
                    <w:right w:val="single" w:sz="4" w:space="0" w:color="auto"/>
                  </w:tcBorders>
                  <w:noWrap/>
                  <w:vAlign w:val="center"/>
                  <w:hideMark/>
                </w:tcPr>
                <w:p w14:paraId="05446461" w14:textId="77777777" w:rsidR="00C41792" w:rsidRPr="00C41792" w:rsidRDefault="00C41792" w:rsidP="00C41792">
                  <w:pPr>
                    <w:spacing w:after="0" w:line="240" w:lineRule="auto"/>
                    <w:ind w:firstLine="0"/>
                    <w:jc w:val="center"/>
                    <w:rPr>
                      <w:rFonts w:eastAsia="Times New Roman"/>
                      <w:color w:val="000000"/>
                      <w:sz w:val="18"/>
                      <w:szCs w:val="18"/>
                      <w:lang w:eastAsia="pt-BR"/>
                    </w:rPr>
                  </w:pPr>
                  <w:r w:rsidRPr="00C41792">
                    <w:rPr>
                      <w:rFonts w:eastAsia="Times New Roman"/>
                      <w:color w:val="000000"/>
                      <w:sz w:val="18"/>
                      <w:szCs w:val="18"/>
                      <w:lang w:eastAsia="pt-BR"/>
                    </w:rPr>
                    <w:t>200</w:t>
                  </w:r>
                </w:p>
              </w:tc>
              <w:tc>
                <w:tcPr>
                  <w:tcW w:w="829" w:type="dxa"/>
                  <w:tcBorders>
                    <w:top w:val="single" w:sz="4" w:space="0" w:color="auto"/>
                    <w:left w:val="single" w:sz="4" w:space="0" w:color="auto"/>
                    <w:bottom w:val="single" w:sz="4" w:space="0" w:color="auto"/>
                    <w:right w:val="single" w:sz="4" w:space="0" w:color="auto"/>
                  </w:tcBorders>
                  <w:vAlign w:val="center"/>
                  <w:hideMark/>
                </w:tcPr>
                <w:p w14:paraId="2BCB7F7B" w14:textId="70FCB664" w:rsidR="00C41792" w:rsidRPr="00C41792" w:rsidRDefault="00C41792" w:rsidP="00C41792">
                  <w:pPr>
                    <w:spacing w:after="0" w:line="240" w:lineRule="auto"/>
                    <w:ind w:firstLine="0"/>
                    <w:jc w:val="center"/>
                    <w:rPr>
                      <w:rFonts w:eastAsia="Times New Roman"/>
                      <w:color w:val="000000"/>
                      <w:sz w:val="18"/>
                      <w:szCs w:val="18"/>
                      <w:lang w:eastAsia="pt-BR"/>
                    </w:rPr>
                  </w:pPr>
                  <w:r>
                    <w:rPr>
                      <w:rFonts w:eastAsia="Times New Roman"/>
                      <w:color w:val="000000"/>
                      <w:sz w:val="18"/>
                      <w:szCs w:val="18"/>
                      <w:lang w:eastAsia="pt-BR"/>
                    </w:rPr>
                    <w:t>4</w:t>
                  </w:r>
                  <w:r w:rsidRPr="00C41792">
                    <w:rPr>
                      <w:rFonts w:eastAsia="Times New Roman"/>
                      <w:color w:val="000000"/>
                      <w:sz w:val="18"/>
                      <w:szCs w:val="18"/>
                      <w:lang w:eastAsia="pt-BR"/>
                    </w:rPr>
                    <w:t>.000</w:t>
                  </w:r>
                </w:p>
              </w:tc>
            </w:tr>
          </w:tbl>
          <w:p w14:paraId="7AC624B4" w14:textId="77777777" w:rsidR="00C41792" w:rsidRDefault="00C41792" w:rsidP="00C41792">
            <w:pPr>
              <w:tabs>
                <w:tab w:val="left" w:pos="320"/>
              </w:tabs>
              <w:spacing w:after="0" w:line="276" w:lineRule="auto"/>
              <w:ind w:firstLine="0"/>
              <w:rPr>
                <w:rFonts w:eastAsia="Calibri"/>
                <w:color w:val="auto"/>
              </w:rPr>
            </w:pPr>
          </w:p>
          <w:p w14:paraId="7F51B192" w14:textId="77777777" w:rsidR="00EE77CF" w:rsidRDefault="00EE77CF" w:rsidP="00C41792">
            <w:pPr>
              <w:tabs>
                <w:tab w:val="left" w:pos="320"/>
              </w:tabs>
              <w:spacing w:after="0" w:line="276" w:lineRule="auto"/>
              <w:ind w:firstLine="0"/>
              <w:rPr>
                <w:rFonts w:eastAsia="Calibri"/>
                <w:color w:val="auto"/>
              </w:rPr>
            </w:pPr>
          </w:p>
          <w:p w14:paraId="7A1B50B7" w14:textId="77777777" w:rsidR="00EE77CF" w:rsidRPr="00C41792" w:rsidRDefault="00EE77CF" w:rsidP="00C41792">
            <w:pPr>
              <w:tabs>
                <w:tab w:val="left" w:pos="320"/>
              </w:tabs>
              <w:spacing w:after="0" w:line="276" w:lineRule="auto"/>
              <w:ind w:firstLine="0"/>
              <w:rPr>
                <w:rFonts w:eastAsia="Calibri"/>
                <w:color w:val="auto"/>
              </w:rPr>
            </w:pPr>
          </w:p>
          <w:p w14:paraId="1E7AF88A" w14:textId="77777777" w:rsidR="00C41792" w:rsidRPr="00C41792" w:rsidRDefault="00C41792" w:rsidP="00C41792">
            <w:pPr>
              <w:tabs>
                <w:tab w:val="left" w:pos="918"/>
              </w:tabs>
              <w:adjustRightInd w:val="0"/>
              <w:spacing w:after="0" w:line="240" w:lineRule="auto"/>
              <w:ind w:firstLine="0"/>
              <w:rPr>
                <w:rFonts w:eastAsia="Times New Roman"/>
                <w:b/>
                <w:bCs/>
                <w:color w:val="auto"/>
                <w:kern w:val="0"/>
              </w:rPr>
            </w:pPr>
            <w:r w:rsidRPr="00C41792">
              <w:rPr>
                <w:rFonts w:eastAsia="Times New Roman"/>
                <w:b/>
                <w:bCs/>
              </w:rPr>
              <w:t>Validade do produto:</w:t>
            </w:r>
          </w:p>
          <w:p w14:paraId="6E9D9661" w14:textId="77777777" w:rsidR="00C41792" w:rsidRPr="00C41792" w:rsidRDefault="00C41792" w:rsidP="00C41792">
            <w:pPr>
              <w:adjustRightInd w:val="0"/>
              <w:spacing w:after="0" w:line="240" w:lineRule="auto"/>
              <w:ind w:firstLine="0"/>
              <w:rPr>
                <w:rFonts w:eastAsia="Times New Roman"/>
                <w:b/>
                <w:bCs/>
              </w:rPr>
            </w:pPr>
          </w:p>
          <w:p w14:paraId="2E9EF5AF"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O produto deverá ter o prazo de validade mínima conforme detalhamento na tabela acima;</w:t>
            </w:r>
          </w:p>
          <w:p w14:paraId="23440A86" w14:textId="77777777" w:rsidR="00C41792" w:rsidRPr="00C41792" w:rsidRDefault="00C41792" w:rsidP="00C41792">
            <w:pPr>
              <w:adjustRightInd w:val="0"/>
              <w:spacing w:after="0" w:line="240" w:lineRule="auto"/>
              <w:ind w:firstLine="0"/>
              <w:rPr>
                <w:rFonts w:eastAsia="Times New Roman"/>
                <w:bCs/>
              </w:rPr>
            </w:pPr>
          </w:p>
          <w:p w14:paraId="04548941"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A data de fabricação e o prazo de validade devem constar na embalagem do produto.</w:t>
            </w:r>
          </w:p>
          <w:p w14:paraId="3A223C89" w14:textId="77777777" w:rsidR="00C41792" w:rsidRPr="00C41792" w:rsidRDefault="00C41792" w:rsidP="00C41792">
            <w:pPr>
              <w:adjustRightInd w:val="0"/>
              <w:spacing w:after="0" w:line="240" w:lineRule="auto"/>
              <w:ind w:firstLine="0"/>
              <w:rPr>
                <w:rFonts w:eastAsia="Times New Roman"/>
                <w:b/>
                <w:bCs/>
              </w:rPr>
            </w:pPr>
          </w:p>
          <w:p w14:paraId="4E7916E8" w14:textId="77777777" w:rsidR="00C41792" w:rsidRPr="00C41792" w:rsidRDefault="00C41792" w:rsidP="00C41792">
            <w:pPr>
              <w:adjustRightInd w:val="0"/>
              <w:spacing w:after="0" w:line="240" w:lineRule="auto"/>
              <w:ind w:firstLine="0"/>
              <w:rPr>
                <w:rFonts w:eastAsia="Times New Roman"/>
                <w:b/>
                <w:bCs/>
              </w:rPr>
            </w:pPr>
            <w:r w:rsidRPr="00C41792">
              <w:rPr>
                <w:rFonts w:eastAsia="Times New Roman"/>
                <w:b/>
                <w:bCs/>
              </w:rPr>
              <w:lastRenderedPageBreak/>
              <w:t>Embalagem do produto:</w:t>
            </w:r>
          </w:p>
          <w:p w14:paraId="16709288" w14:textId="77777777" w:rsidR="00C41792" w:rsidRPr="00C41792" w:rsidRDefault="00C41792" w:rsidP="00C41792">
            <w:pPr>
              <w:adjustRightInd w:val="0"/>
              <w:spacing w:after="0" w:line="240" w:lineRule="auto"/>
              <w:ind w:firstLine="0"/>
              <w:rPr>
                <w:rFonts w:eastAsia="Times New Roman"/>
                <w:b/>
                <w:bCs/>
              </w:rPr>
            </w:pPr>
          </w:p>
          <w:p w14:paraId="77B2337C" w14:textId="77777777" w:rsidR="00C41792" w:rsidRPr="00C41792" w:rsidRDefault="00C41792" w:rsidP="00C41792">
            <w:pPr>
              <w:adjustRightInd w:val="0"/>
              <w:spacing w:after="0" w:line="240" w:lineRule="auto"/>
              <w:ind w:firstLine="0"/>
              <w:rPr>
                <w:rFonts w:eastAsia="Times New Roman"/>
                <w:bCs/>
              </w:rPr>
            </w:pPr>
            <w:r w:rsidRPr="00C41792">
              <w:rPr>
                <w:rFonts w:eastAsia="Times New Roman"/>
                <w:bCs/>
              </w:rPr>
              <w:t>A embalagem, como o seu manuseio, transporte, carga/descarga será de responsabilidade e custos da contratada.</w:t>
            </w:r>
          </w:p>
          <w:p w14:paraId="4461B929" w14:textId="77777777" w:rsidR="00EE77CF" w:rsidRDefault="00EE77CF" w:rsidP="00EE77CF">
            <w:pPr>
              <w:adjustRightInd w:val="0"/>
              <w:spacing w:line="240" w:lineRule="auto"/>
              <w:ind w:left="38" w:firstLine="0"/>
              <w:rPr>
                <w:rFonts w:eastAsia="Times New Roman"/>
                <w:bCs/>
              </w:rPr>
            </w:pPr>
          </w:p>
          <w:p w14:paraId="5D1B818A" w14:textId="3C202E4B" w:rsidR="00EE77CF" w:rsidRPr="00EE77CF" w:rsidRDefault="00EE77CF" w:rsidP="00EE77CF">
            <w:pPr>
              <w:adjustRightInd w:val="0"/>
              <w:spacing w:line="240" w:lineRule="auto"/>
              <w:ind w:left="38" w:firstLine="0"/>
              <w:rPr>
                <w:rFonts w:eastAsia="Times New Roman"/>
                <w:bCs/>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2D74EC">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7C427C">
            <w:pPr>
              <w:pStyle w:val="PargrafodaLista"/>
              <w:numPr>
                <w:ilvl w:val="0"/>
                <w:numId w:val="6"/>
              </w:numPr>
              <w:tabs>
                <w:tab w:val="left" w:pos="319"/>
              </w:tabs>
              <w:spacing w:after="0" w:line="240" w:lineRule="auto"/>
              <w:ind w:left="0" w:firstLine="0"/>
              <w:rPr>
                <w:b/>
                <w:bCs/>
                <w:sz w:val="24"/>
                <w:szCs w:val="24"/>
              </w:rPr>
            </w:pPr>
            <w:r w:rsidRPr="00EA6617">
              <w:rPr>
                <w:b/>
                <w:bCs/>
                <w:sz w:val="24"/>
                <w:szCs w:val="24"/>
              </w:rPr>
              <w:lastRenderedPageBreak/>
              <w:t xml:space="preserve">QUALIFICAÇÃO TÉCNICA DA EMPRESA: </w:t>
            </w:r>
          </w:p>
          <w:p w14:paraId="4CC263A9" w14:textId="77777777" w:rsidR="00C41792" w:rsidRPr="00C41792" w:rsidRDefault="00C41792" w:rsidP="00C41792">
            <w:pPr>
              <w:tabs>
                <w:tab w:val="left" w:pos="319"/>
              </w:tabs>
              <w:spacing w:after="0" w:line="240" w:lineRule="auto"/>
              <w:ind w:firstLine="0"/>
              <w:rPr>
                <w:b/>
                <w:bCs/>
              </w:rPr>
            </w:pPr>
          </w:p>
          <w:p w14:paraId="58761C71" w14:textId="77777777" w:rsidR="00C41792" w:rsidRPr="00C41792" w:rsidRDefault="00C41792" w:rsidP="00C41792">
            <w:pPr>
              <w:numPr>
                <w:ilvl w:val="1"/>
                <w:numId w:val="36"/>
              </w:numPr>
              <w:tabs>
                <w:tab w:val="left" w:pos="449"/>
              </w:tabs>
              <w:spacing w:after="0" w:line="240" w:lineRule="auto"/>
              <w:ind w:left="24" w:hanging="24"/>
            </w:pPr>
            <w:r w:rsidRPr="00C41792">
              <w:t>Apresentar pelo menos 01 (um) atestado de capacidade técnico-operacional em seu nome, expedido por pessoa jurídica de direito público ou privado, comprovando que a empresa licitante forneceu objeto compatível em características com o objeto da Licitação;</w:t>
            </w:r>
          </w:p>
          <w:p w14:paraId="462DF0EB" w14:textId="77777777" w:rsidR="00C41792" w:rsidRPr="00C41792" w:rsidRDefault="00C41792" w:rsidP="00C41792">
            <w:pPr>
              <w:numPr>
                <w:ilvl w:val="1"/>
                <w:numId w:val="36"/>
              </w:numPr>
              <w:tabs>
                <w:tab w:val="left" w:pos="449"/>
              </w:tabs>
              <w:spacing w:after="0" w:line="240" w:lineRule="auto"/>
              <w:ind w:left="24" w:hanging="24"/>
            </w:pPr>
            <w:r w:rsidRPr="00C41792">
              <w:t>Apresentar documento de registro do MAPA;</w:t>
            </w:r>
          </w:p>
          <w:p w14:paraId="6B80475A" w14:textId="77777777" w:rsidR="00C41792" w:rsidRPr="00C41792" w:rsidRDefault="00C41792" w:rsidP="00C41792">
            <w:pPr>
              <w:numPr>
                <w:ilvl w:val="1"/>
                <w:numId w:val="36"/>
              </w:numPr>
              <w:tabs>
                <w:tab w:val="left" w:pos="449"/>
              </w:tabs>
              <w:spacing w:after="0" w:line="240" w:lineRule="auto"/>
              <w:ind w:left="24" w:hanging="24"/>
            </w:pPr>
            <w:r w:rsidRPr="00C41792">
              <w:t>Apresentar laudo de classificação de café com pontuação igual ou superior a 80 pontos;</w:t>
            </w:r>
          </w:p>
          <w:p w14:paraId="333E3BAF" w14:textId="77777777" w:rsidR="00C41792" w:rsidRPr="00C41792" w:rsidRDefault="00C41792" w:rsidP="00C41792">
            <w:pPr>
              <w:numPr>
                <w:ilvl w:val="1"/>
                <w:numId w:val="36"/>
              </w:numPr>
              <w:tabs>
                <w:tab w:val="left" w:pos="449"/>
              </w:tabs>
              <w:spacing w:after="0" w:line="240" w:lineRule="auto"/>
              <w:ind w:left="24" w:hanging="24"/>
            </w:pPr>
            <w:r w:rsidRPr="00C41792">
              <w:t>Apresentar documento que comprove a condição de empreendimento familiar rural, conforme Lei 11.326/2006.</w:t>
            </w: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6384A8CB"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w:t>
            </w:r>
            <w:r w:rsidR="00C41792" w:rsidRPr="00C41792">
              <w:rPr>
                <w:rFonts w:ascii="Arial" w:hAnsi="Arial" w:cs="Arial"/>
                <w:color w:val="242424"/>
                <w:bdr w:val="none" w:sz="0" w:space="0" w:color="auto" w:frame="1"/>
              </w:rPr>
              <w:t>de 12 (doze)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52B654BD" w14:textId="77777777" w:rsidR="00B05DD3" w:rsidRDefault="00516BF8" w:rsidP="00D96A20">
            <w:pPr>
              <w:pStyle w:val="xmsonormal"/>
              <w:shd w:val="clear" w:color="auto" w:fill="FFFFFF"/>
              <w:spacing w:before="0" w:beforeAutospacing="0" w:after="0" w:afterAutospacing="0"/>
              <w:ind w:left="731"/>
              <w:jc w:val="both"/>
              <w:rPr>
                <w:rFonts w:ascii="Arial" w:hAnsi="Arial" w:cs="Arial"/>
                <w:i/>
                <w:iCs/>
                <w:color w:val="242424"/>
                <w:bdr w:val="none" w:sz="0" w:space="0" w:color="auto" w:frame="1"/>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p w14:paraId="2CB04D01" w14:textId="6ACDAB0E" w:rsidR="00C41792" w:rsidRPr="00B47728" w:rsidRDefault="00C41792" w:rsidP="00D96A20">
            <w:pPr>
              <w:pStyle w:val="xmsonormal"/>
              <w:shd w:val="clear" w:color="auto" w:fill="FFFFFF"/>
              <w:spacing w:before="0" w:beforeAutospacing="0" w:after="0" w:afterAutospacing="0"/>
              <w:ind w:left="731"/>
              <w:jc w:val="both"/>
              <w:rPr>
                <w:rFonts w:ascii="Arial" w:hAnsi="Arial" w:cs="Arial"/>
                <w:i/>
                <w:iCs/>
                <w:color w:val="242424"/>
              </w:rPr>
            </w:pPr>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4B7F754B" w14:textId="77777777" w:rsidR="00C41792" w:rsidRPr="00C41792" w:rsidRDefault="00C41792" w:rsidP="00C41792">
            <w:pPr>
              <w:tabs>
                <w:tab w:val="left" w:pos="319"/>
              </w:tabs>
              <w:spacing w:after="0" w:line="240" w:lineRule="auto"/>
              <w:ind w:firstLine="0"/>
              <w:rPr>
                <w:rFonts w:ascii="Segoe UI" w:hAnsi="Segoe UI" w:cs="Segoe UI"/>
                <w:sz w:val="18"/>
                <w:szCs w:val="18"/>
              </w:rPr>
            </w:pPr>
          </w:p>
          <w:p w14:paraId="73C3A233" w14:textId="77777777" w:rsidR="00C41792" w:rsidRPr="00C41792" w:rsidRDefault="00C41792" w:rsidP="00C41792">
            <w:pPr>
              <w:adjustRightInd w:val="0"/>
              <w:spacing w:after="0" w:line="240" w:lineRule="auto"/>
              <w:ind w:firstLine="0"/>
              <w:rPr>
                <w:rFonts w:eastAsia="Times New Roman"/>
                <w:kern w:val="0"/>
              </w:rPr>
            </w:pPr>
            <w:r w:rsidRPr="00C41792">
              <w:rPr>
                <w:rFonts w:eastAsia="Times New Roman"/>
              </w:rPr>
              <w:t>Os produtos serão solicitados de acordo com a demanda e necessidades da CONTRATANTE, formulada através de Ordem de Fornecimento antecipada, enviada por meio eletrônico, e deverá ser entregue na Sede do Sebrae em Rondônia em seu respectivo endereço: Av. Campos Sales, 3421, Bairro Olaria, Porto Velho/RO;</w:t>
            </w:r>
          </w:p>
          <w:p w14:paraId="33326435" w14:textId="77777777" w:rsidR="00C41792" w:rsidRPr="00C41792" w:rsidRDefault="00C41792" w:rsidP="00C41792">
            <w:pPr>
              <w:adjustRightInd w:val="0"/>
              <w:spacing w:after="0" w:line="240" w:lineRule="auto"/>
              <w:ind w:firstLine="0"/>
              <w:rPr>
                <w:rFonts w:eastAsia="Times New Roman"/>
                <w:lang w:eastAsia="pt-BR"/>
              </w:rPr>
            </w:pPr>
            <w:r w:rsidRPr="00C41792">
              <w:rPr>
                <w:rFonts w:eastAsia="Times New Roman"/>
                <w:lang w:eastAsia="pt-BR"/>
              </w:rPr>
              <w:t>Após assinatura do Contrato, a CONTRATADA deverá atender aos pedidos de fornecimento efetuados pela CONTRATANTE conforme abaixo:</w:t>
            </w:r>
          </w:p>
          <w:p w14:paraId="2F3B0B77" w14:textId="77777777" w:rsidR="00C41792" w:rsidRPr="00C41792" w:rsidRDefault="00C41792" w:rsidP="00C41792">
            <w:pPr>
              <w:adjustRightInd w:val="0"/>
              <w:spacing w:after="0" w:line="240" w:lineRule="auto"/>
              <w:ind w:left="923"/>
              <w:rPr>
                <w:rFonts w:eastAsia="Times New Roman"/>
                <w:lang w:eastAsia="pt-BR"/>
              </w:rPr>
            </w:pPr>
          </w:p>
          <w:p w14:paraId="07338F47"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 xml:space="preserve">O prazo de entrega dos pedidos solicitados será de até 10 (dez) dias úteis, contados a partir da data do recebimento da Ordem de Fornecimento, respeitando o seguinte horário das </w:t>
            </w:r>
            <w:r w:rsidRPr="00C41792">
              <w:rPr>
                <w:rFonts w:eastAsia="Times New Roman"/>
                <w:b/>
                <w:lang w:eastAsia="pt-BR"/>
              </w:rPr>
              <w:t>08h30min às 11h30min e 14h30min às 17h00min</w:t>
            </w:r>
            <w:r w:rsidRPr="00C41792">
              <w:rPr>
                <w:rFonts w:eastAsia="Times New Roman"/>
                <w:lang w:eastAsia="pt-BR"/>
              </w:rPr>
              <w:t>;</w:t>
            </w:r>
          </w:p>
          <w:p w14:paraId="600C4F5D"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A CONTRATADA deverá efetuar a entrega na totalidade do que for solicitado.</w:t>
            </w:r>
          </w:p>
          <w:p w14:paraId="534D81F1" w14:textId="77777777" w:rsidR="00C41792" w:rsidRPr="00C41792" w:rsidRDefault="00C41792" w:rsidP="00C41792">
            <w:pPr>
              <w:adjustRightInd w:val="0"/>
              <w:spacing w:after="0" w:line="240" w:lineRule="auto"/>
              <w:ind w:left="2483"/>
              <w:rPr>
                <w:rFonts w:eastAsia="Times New Roman"/>
                <w:lang w:eastAsia="pt-BR"/>
              </w:rPr>
            </w:pPr>
          </w:p>
          <w:p w14:paraId="5F7EEE9D" w14:textId="77777777" w:rsidR="00C41792" w:rsidRPr="00C41792" w:rsidRDefault="00C41792" w:rsidP="00C41792">
            <w:pPr>
              <w:adjustRightInd w:val="0"/>
              <w:spacing w:after="0" w:line="240" w:lineRule="auto"/>
              <w:ind w:left="-115" w:firstLine="567"/>
              <w:rPr>
                <w:rFonts w:eastAsia="Times New Roman"/>
                <w:b/>
                <w:lang w:eastAsia="pt-BR"/>
              </w:rPr>
            </w:pPr>
            <w:r w:rsidRPr="00C41792">
              <w:rPr>
                <w:rFonts w:eastAsia="Times New Roman"/>
                <w:b/>
                <w:lang w:eastAsia="pt-BR"/>
              </w:rPr>
              <w:t xml:space="preserve">DO RECEBIMENTO </w:t>
            </w:r>
          </w:p>
          <w:p w14:paraId="2394E4BD" w14:textId="77777777" w:rsidR="00C41792" w:rsidRPr="00C41792" w:rsidRDefault="00C41792" w:rsidP="00C41792">
            <w:pPr>
              <w:adjustRightInd w:val="0"/>
              <w:spacing w:after="0" w:line="240" w:lineRule="auto"/>
              <w:ind w:left="452"/>
              <w:rPr>
                <w:rFonts w:eastAsia="Times New Roman"/>
                <w:b/>
                <w:lang w:eastAsia="pt-BR"/>
              </w:rPr>
            </w:pPr>
          </w:p>
          <w:p w14:paraId="2217E920"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O recebimento provisório do objeto, para efeito de posterior verificação da sua conformidade, será realizado no ato da entrega pela Unidade de Gestão Administrativa – UGA, oportunidade em que se observará apenas as informações constantes da fatura e das embalagens, em confronto com a respectiva Ordem de fornecimento/nota fiscal;</w:t>
            </w:r>
          </w:p>
          <w:p w14:paraId="0A572886" w14:textId="77777777" w:rsidR="00C41792" w:rsidRPr="00C41792" w:rsidRDefault="00C41792" w:rsidP="00C41792">
            <w:pPr>
              <w:adjustRightInd w:val="0"/>
              <w:spacing w:after="0" w:line="240" w:lineRule="auto"/>
              <w:ind w:left="452"/>
              <w:rPr>
                <w:rFonts w:eastAsia="Times New Roman"/>
                <w:lang w:eastAsia="pt-BR"/>
              </w:rPr>
            </w:pPr>
          </w:p>
          <w:p w14:paraId="4CBA637D"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t>O recebimento definitivo se dará no prazo de 5 (cinco) dias úteis, contado do recebimento provisório, pela Unidade de Gestão Administrativa – UGA, após a verificação da qualidade e quantidade do material;</w:t>
            </w:r>
          </w:p>
          <w:p w14:paraId="25877ED7" w14:textId="77777777" w:rsidR="00C41792" w:rsidRPr="00C41792" w:rsidRDefault="00C41792" w:rsidP="00C41792">
            <w:pPr>
              <w:adjustRightInd w:val="0"/>
              <w:spacing w:after="0" w:line="240" w:lineRule="auto"/>
              <w:ind w:left="452"/>
              <w:rPr>
                <w:rFonts w:eastAsia="Times New Roman"/>
                <w:lang w:eastAsia="pt-BR"/>
              </w:rPr>
            </w:pPr>
          </w:p>
          <w:p w14:paraId="5A19BC12" w14:textId="77777777" w:rsidR="00C41792" w:rsidRPr="00C41792" w:rsidRDefault="00C41792" w:rsidP="00C41792">
            <w:pPr>
              <w:adjustRightInd w:val="0"/>
              <w:spacing w:line="240" w:lineRule="auto"/>
              <w:ind w:left="452"/>
              <w:rPr>
                <w:rFonts w:eastAsia="Times New Roman"/>
                <w:lang w:eastAsia="pt-BR"/>
              </w:rPr>
            </w:pPr>
            <w:r w:rsidRPr="00C41792">
              <w:rPr>
                <w:rFonts w:eastAsia="Times New Roman"/>
                <w:lang w:eastAsia="pt-BR"/>
              </w:rPr>
              <w:lastRenderedPageBreak/>
              <w:t>O descarregamento do produto ficará a cargo da CONTRATADA, devendo ser providenciada a mão-de-obra necessária;</w:t>
            </w:r>
          </w:p>
          <w:p w14:paraId="2850E0B2" w14:textId="77777777" w:rsidR="00C41792" w:rsidRPr="00C41792" w:rsidRDefault="00C41792" w:rsidP="00C41792">
            <w:pPr>
              <w:adjustRightInd w:val="0"/>
              <w:spacing w:after="0" w:line="240" w:lineRule="auto"/>
              <w:ind w:left="1633"/>
              <w:rPr>
                <w:rFonts w:eastAsia="Times New Roman"/>
                <w:lang w:eastAsia="pt-BR"/>
              </w:rPr>
            </w:pPr>
          </w:p>
          <w:p w14:paraId="41C8E48E" w14:textId="77777777" w:rsidR="00C41792" w:rsidRPr="00C41792" w:rsidRDefault="00C41792" w:rsidP="00C41792">
            <w:pPr>
              <w:tabs>
                <w:tab w:val="left" w:pos="319"/>
              </w:tabs>
              <w:spacing w:after="0" w:line="240" w:lineRule="auto"/>
              <w:ind w:firstLine="0"/>
              <w:rPr>
                <w:rFonts w:eastAsia="Times New Roman"/>
                <w:lang w:eastAsia="pt-BR"/>
              </w:rPr>
            </w:pPr>
            <w:r w:rsidRPr="00C41792">
              <w:rPr>
                <w:rFonts w:eastAsia="Times New Roman"/>
                <w:lang w:eastAsia="pt-BR"/>
              </w:rPr>
              <w:t>Conforme disciplinado nos artigos 12 a 17 da Lei n.º 8.078/90, o aceite/aprovação do(s) produto(s) pela CONTRATANTE não exclui a responsabilidade civil do fornecedor por defeitos ou vícios de quantidade ou qualidade do(s) produto(s) ou disparidades com as especificações estabelecidas, verificadas, posteriormente, garantindo-se à CONTRATANTE as faculdades previstas no art. 18 da mesma lei.</w:t>
            </w:r>
          </w:p>
          <w:p w14:paraId="50C89927" w14:textId="77777777" w:rsidR="002775F1" w:rsidRDefault="002775F1"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p w14:paraId="4C150B59" w14:textId="642E7589" w:rsidR="00C41792" w:rsidRPr="00EA6617" w:rsidRDefault="00C41792"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137ED048" w14:textId="680E6D63" w:rsidR="00516BF8" w:rsidRPr="00C41792" w:rsidRDefault="00DF2649" w:rsidP="00C41792">
            <w:pPr>
              <w:spacing w:after="0" w:line="240" w:lineRule="auto"/>
              <w:ind w:firstLine="0"/>
              <w:rPr>
                <w:bCs/>
                <w:color w:val="000000"/>
                <w:kern w:val="2"/>
                <w:sz w:val="24"/>
                <w:szCs w:val="24"/>
              </w:rPr>
            </w:pPr>
            <w:r w:rsidRPr="00C41792">
              <w:rPr>
                <w:bCs/>
                <w:color w:val="000000"/>
                <w:kern w:val="2"/>
                <w:sz w:val="24"/>
                <w:szCs w:val="24"/>
              </w:rPr>
              <w:t>A gestão do contrato será realizada pelo Sebrae/RO que far</w:t>
            </w:r>
            <w:r w:rsidR="00910333" w:rsidRPr="00C41792">
              <w:rPr>
                <w:bCs/>
                <w:color w:val="000000"/>
                <w:kern w:val="2"/>
                <w:sz w:val="24"/>
                <w:szCs w:val="24"/>
              </w:rPr>
              <w:t>á</w:t>
            </w:r>
            <w:r w:rsidRPr="00C4179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lastRenderedPageBreak/>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w:t>
            </w:r>
            <w:r w:rsidRPr="00C41792">
              <w:rPr>
                <w:bCs/>
                <w:kern w:val="2"/>
                <w:sz w:val="24"/>
                <w:szCs w:val="24"/>
              </w:rPr>
              <w:t xml:space="preserve">Rondônia na Avenida Campos Sales, 3421, Bairro Olaria, Porto Velho - Rondônia e endereçada ao gestor do contrato, com entrega </w:t>
            </w:r>
            <w:r w:rsidRPr="00A006B1">
              <w:rPr>
                <w:bCs/>
                <w:color w:val="000000"/>
                <w:kern w:val="2"/>
                <w:sz w:val="24"/>
                <w:szCs w:val="24"/>
              </w:rPr>
              <w:t>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lastRenderedPageBreak/>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546AC10A" w:rsidR="00516BF8" w:rsidRPr="00EA6617" w:rsidRDefault="003908B2" w:rsidP="003908B2">
      <w:pPr>
        <w:tabs>
          <w:tab w:val="left" w:pos="993"/>
        </w:tabs>
        <w:spacing w:after="0" w:line="240" w:lineRule="auto"/>
        <w:ind w:firstLine="0"/>
        <w:jc w:val="right"/>
        <w:rPr>
          <w:sz w:val="24"/>
          <w:szCs w:val="24"/>
        </w:rPr>
      </w:pPr>
      <w:r w:rsidRPr="00C41792">
        <w:rPr>
          <w:sz w:val="24"/>
          <w:szCs w:val="24"/>
        </w:rPr>
        <w:t xml:space="preserve">Porto Velho, </w:t>
      </w:r>
      <w:r w:rsidR="00C41792" w:rsidRPr="00C41792">
        <w:rPr>
          <w:sz w:val="24"/>
          <w:szCs w:val="24"/>
        </w:rPr>
        <w:t>1</w:t>
      </w:r>
      <w:r w:rsidR="00786C3F">
        <w:rPr>
          <w:sz w:val="24"/>
          <w:szCs w:val="24"/>
        </w:rPr>
        <w:t>5</w:t>
      </w:r>
      <w:r w:rsidRPr="00C41792">
        <w:rPr>
          <w:sz w:val="24"/>
          <w:szCs w:val="24"/>
        </w:rPr>
        <w:t xml:space="preserve"> de </w:t>
      </w:r>
      <w:r w:rsidR="00786C3F">
        <w:rPr>
          <w:sz w:val="24"/>
          <w:szCs w:val="24"/>
        </w:rPr>
        <w:t>julho</w:t>
      </w:r>
      <w:r w:rsidRPr="00C41792">
        <w:rPr>
          <w:sz w:val="24"/>
          <w:szCs w:val="24"/>
        </w:rPr>
        <w:t xml:space="preserve"> de 202</w:t>
      </w:r>
      <w:r w:rsidR="00C41792" w:rsidRPr="00C41792">
        <w:rPr>
          <w:sz w:val="24"/>
          <w:szCs w:val="24"/>
        </w:rPr>
        <w:t>5</w:t>
      </w:r>
      <w:r w:rsidRPr="00C41792">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3AB8E" w14:textId="77777777" w:rsidR="00782ACF" w:rsidRDefault="00782ACF" w:rsidP="00B316AB">
      <w:r>
        <w:separator/>
      </w:r>
    </w:p>
  </w:endnote>
  <w:endnote w:type="continuationSeparator" w:id="0">
    <w:p w14:paraId="7B7D1A89" w14:textId="77777777" w:rsidR="00782ACF" w:rsidRDefault="00782ACF"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90ADC" w14:textId="77777777" w:rsidR="00782ACF" w:rsidRDefault="00782ACF" w:rsidP="00B316AB">
      <w:r>
        <w:separator/>
      </w:r>
    </w:p>
  </w:footnote>
  <w:footnote w:type="continuationSeparator" w:id="0">
    <w:p w14:paraId="72DB5725" w14:textId="77777777" w:rsidR="00782ACF" w:rsidRDefault="00782ACF"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4"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5"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0"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2"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0"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1"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4"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19"/>
  </w:num>
  <w:num w:numId="2" w16cid:durableId="1695305953">
    <w:abstractNumId w:val="33"/>
  </w:num>
  <w:num w:numId="3" w16cid:durableId="602954600">
    <w:abstractNumId w:val="22"/>
  </w:num>
  <w:num w:numId="4" w16cid:durableId="245768617">
    <w:abstractNumId w:val="17"/>
  </w:num>
  <w:num w:numId="5" w16cid:durableId="2001152800">
    <w:abstractNumId w:val="6"/>
  </w:num>
  <w:num w:numId="6" w16cid:durableId="1653485613">
    <w:abstractNumId w:val="30"/>
  </w:num>
  <w:num w:numId="7" w16cid:durableId="1183589346">
    <w:abstractNumId w:val="2"/>
  </w:num>
  <w:num w:numId="8" w16cid:durableId="224032410">
    <w:abstractNumId w:val="18"/>
  </w:num>
  <w:num w:numId="9" w16cid:durableId="1302462716">
    <w:abstractNumId w:val="16"/>
  </w:num>
  <w:num w:numId="10" w16cid:durableId="530732081">
    <w:abstractNumId w:val="13"/>
  </w:num>
  <w:num w:numId="11" w16cid:durableId="2116443311">
    <w:abstractNumId w:val="34"/>
  </w:num>
  <w:num w:numId="12" w16cid:durableId="10230188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8"/>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27"/>
  </w:num>
  <w:num w:numId="16" w16cid:durableId="2094928861">
    <w:abstractNumId w:val="11"/>
  </w:num>
  <w:num w:numId="17" w16cid:durableId="1985038312">
    <w:abstractNumId w:val="15"/>
  </w:num>
  <w:num w:numId="18" w16cid:durableId="1038970911">
    <w:abstractNumId w:val="5"/>
  </w:num>
  <w:num w:numId="19" w16cid:durableId="568030890">
    <w:abstractNumId w:val="9"/>
  </w:num>
  <w:num w:numId="20" w16cid:durableId="1158308902">
    <w:abstractNumId w:val="21"/>
  </w:num>
  <w:num w:numId="21" w16cid:durableId="1067341544">
    <w:abstractNumId w:val="23"/>
  </w:num>
  <w:num w:numId="22" w16cid:durableId="1272282964">
    <w:abstractNumId w:val="20"/>
  </w:num>
  <w:num w:numId="23" w16cid:durableId="133181899">
    <w:abstractNumId w:val="26"/>
  </w:num>
  <w:num w:numId="24" w16cid:durableId="131144016">
    <w:abstractNumId w:val="25"/>
  </w:num>
  <w:num w:numId="25" w16cid:durableId="1436365768">
    <w:abstractNumId w:val="10"/>
  </w:num>
  <w:num w:numId="26" w16cid:durableId="1430127359">
    <w:abstractNumId w:val="12"/>
  </w:num>
  <w:num w:numId="27" w16cid:durableId="1411077640">
    <w:abstractNumId w:val="24"/>
  </w:num>
  <w:num w:numId="28" w16cid:durableId="2118451366">
    <w:abstractNumId w:val="3"/>
  </w:num>
  <w:num w:numId="29" w16cid:durableId="1879585726">
    <w:abstractNumId w:val="32"/>
  </w:num>
  <w:num w:numId="30" w16cid:durableId="1346439416">
    <w:abstractNumId w:val="29"/>
  </w:num>
  <w:num w:numId="31" w16cid:durableId="1855653204">
    <w:abstractNumId w:val="1"/>
  </w:num>
  <w:num w:numId="32" w16cid:durableId="2035884383">
    <w:abstractNumId w:val="0"/>
  </w:num>
  <w:num w:numId="33" w16cid:durableId="1859001621">
    <w:abstractNumId w:val="28"/>
  </w:num>
  <w:num w:numId="34" w16cid:durableId="1301958134">
    <w:abstractNumId w:val="7"/>
  </w:num>
  <w:num w:numId="35" w16cid:durableId="1578634167">
    <w:abstractNumId w:val="31"/>
  </w:num>
  <w:num w:numId="36" w16cid:durableId="8587856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25D1"/>
    <w:rsid w:val="00083B0D"/>
    <w:rsid w:val="0008671A"/>
    <w:rsid w:val="0009062F"/>
    <w:rsid w:val="00095E3D"/>
    <w:rsid w:val="000A3C88"/>
    <w:rsid w:val="000A44C2"/>
    <w:rsid w:val="000B09B8"/>
    <w:rsid w:val="000B53C5"/>
    <w:rsid w:val="000B74F3"/>
    <w:rsid w:val="000C0975"/>
    <w:rsid w:val="000C0EFA"/>
    <w:rsid w:val="000C40B2"/>
    <w:rsid w:val="000C69FF"/>
    <w:rsid w:val="000D19FC"/>
    <w:rsid w:val="000D347A"/>
    <w:rsid w:val="000D3E29"/>
    <w:rsid w:val="000E1DAC"/>
    <w:rsid w:val="000E3F6F"/>
    <w:rsid w:val="000E45B4"/>
    <w:rsid w:val="000E7BDD"/>
    <w:rsid w:val="000F0E3A"/>
    <w:rsid w:val="000F33EC"/>
    <w:rsid w:val="000F3626"/>
    <w:rsid w:val="000F48CC"/>
    <w:rsid w:val="000F48F1"/>
    <w:rsid w:val="000F74BC"/>
    <w:rsid w:val="000F7A4C"/>
    <w:rsid w:val="0010060A"/>
    <w:rsid w:val="00101A01"/>
    <w:rsid w:val="00107D75"/>
    <w:rsid w:val="00110337"/>
    <w:rsid w:val="00113B61"/>
    <w:rsid w:val="00117CBB"/>
    <w:rsid w:val="00122D3F"/>
    <w:rsid w:val="00125352"/>
    <w:rsid w:val="001256D8"/>
    <w:rsid w:val="001318D4"/>
    <w:rsid w:val="00132EFD"/>
    <w:rsid w:val="00135563"/>
    <w:rsid w:val="00136FA1"/>
    <w:rsid w:val="00140CBA"/>
    <w:rsid w:val="00141A38"/>
    <w:rsid w:val="0014316C"/>
    <w:rsid w:val="0014390B"/>
    <w:rsid w:val="00143E00"/>
    <w:rsid w:val="0014544B"/>
    <w:rsid w:val="001457DC"/>
    <w:rsid w:val="00145BFD"/>
    <w:rsid w:val="0014668C"/>
    <w:rsid w:val="00147DEE"/>
    <w:rsid w:val="00147FE6"/>
    <w:rsid w:val="00154902"/>
    <w:rsid w:val="001608D5"/>
    <w:rsid w:val="00160CB3"/>
    <w:rsid w:val="001655A4"/>
    <w:rsid w:val="0016601B"/>
    <w:rsid w:val="00167C89"/>
    <w:rsid w:val="0018070E"/>
    <w:rsid w:val="001826C5"/>
    <w:rsid w:val="00182731"/>
    <w:rsid w:val="001858F9"/>
    <w:rsid w:val="00186EC6"/>
    <w:rsid w:val="00193ACC"/>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22F4"/>
    <w:rsid w:val="001F376E"/>
    <w:rsid w:val="00202144"/>
    <w:rsid w:val="00202DD8"/>
    <w:rsid w:val="00204782"/>
    <w:rsid w:val="00211B12"/>
    <w:rsid w:val="0021358C"/>
    <w:rsid w:val="00213E96"/>
    <w:rsid w:val="0021460E"/>
    <w:rsid w:val="00220638"/>
    <w:rsid w:val="00221FDC"/>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99C"/>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024CB"/>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761D2"/>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0A7B"/>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22B5"/>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38B5"/>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717E4"/>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07DC"/>
    <w:rsid w:val="006E708C"/>
    <w:rsid w:val="006F08D3"/>
    <w:rsid w:val="00700B7A"/>
    <w:rsid w:val="00705BC3"/>
    <w:rsid w:val="007069B6"/>
    <w:rsid w:val="007077D4"/>
    <w:rsid w:val="0071007C"/>
    <w:rsid w:val="00711C06"/>
    <w:rsid w:val="007129A4"/>
    <w:rsid w:val="00713047"/>
    <w:rsid w:val="00720F54"/>
    <w:rsid w:val="00723E41"/>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2ACF"/>
    <w:rsid w:val="00783080"/>
    <w:rsid w:val="00785EB4"/>
    <w:rsid w:val="0078682A"/>
    <w:rsid w:val="00786C3F"/>
    <w:rsid w:val="00795BF5"/>
    <w:rsid w:val="00796C8D"/>
    <w:rsid w:val="007A5B45"/>
    <w:rsid w:val="007B19A1"/>
    <w:rsid w:val="007B297B"/>
    <w:rsid w:val="007B5B42"/>
    <w:rsid w:val="007B67C5"/>
    <w:rsid w:val="007B6C54"/>
    <w:rsid w:val="007B7537"/>
    <w:rsid w:val="007C427C"/>
    <w:rsid w:val="007C5060"/>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2437"/>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06194"/>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4ECA"/>
    <w:rsid w:val="00AC5013"/>
    <w:rsid w:val="00AC59E0"/>
    <w:rsid w:val="00AD0F07"/>
    <w:rsid w:val="00AD35A6"/>
    <w:rsid w:val="00AD5757"/>
    <w:rsid w:val="00AD57AC"/>
    <w:rsid w:val="00AE4A76"/>
    <w:rsid w:val="00AE5365"/>
    <w:rsid w:val="00AF0727"/>
    <w:rsid w:val="00B00381"/>
    <w:rsid w:val="00B02067"/>
    <w:rsid w:val="00B03016"/>
    <w:rsid w:val="00B05DD3"/>
    <w:rsid w:val="00B10387"/>
    <w:rsid w:val="00B11382"/>
    <w:rsid w:val="00B122D3"/>
    <w:rsid w:val="00B15D28"/>
    <w:rsid w:val="00B25EE8"/>
    <w:rsid w:val="00B316AB"/>
    <w:rsid w:val="00B354C2"/>
    <w:rsid w:val="00B47728"/>
    <w:rsid w:val="00B50659"/>
    <w:rsid w:val="00B55698"/>
    <w:rsid w:val="00B63888"/>
    <w:rsid w:val="00B639CA"/>
    <w:rsid w:val="00B64FD5"/>
    <w:rsid w:val="00B70617"/>
    <w:rsid w:val="00B74995"/>
    <w:rsid w:val="00B74C8D"/>
    <w:rsid w:val="00B761F9"/>
    <w:rsid w:val="00B949E8"/>
    <w:rsid w:val="00B9674F"/>
    <w:rsid w:val="00B9791A"/>
    <w:rsid w:val="00BA3FAC"/>
    <w:rsid w:val="00BA5712"/>
    <w:rsid w:val="00BA6478"/>
    <w:rsid w:val="00BB4BC0"/>
    <w:rsid w:val="00BB78A9"/>
    <w:rsid w:val="00BC2391"/>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1792"/>
    <w:rsid w:val="00C43B09"/>
    <w:rsid w:val="00C443C8"/>
    <w:rsid w:val="00C448C3"/>
    <w:rsid w:val="00C44A05"/>
    <w:rsid w:val="00C45493"/>
    <w:rsid w:val="00C45C72"/>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7D4"/>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57EC"/>
    <w:rsid w:val="00E4718C"/>
    <w:rsid w:val="00E50F80"/>
    <w:rsid w:val="00E516C6"/>
    <w:rsid w:val="00E51FB0"/>
    <w:rsid w:val="00E60ABC"/>
    <w:rsid w:val="00E647C9"/>
    <w:rsid w:val="00E6497E"/>
    <w:rsid w:val="00E65E6A"/>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EE5E2B"/>
    <w:rsid w:val="00EE77CF"/>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0DE2"/>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52D"/>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1418252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66178294">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50615525">
      <w:bodyDiv w:val="1"/>
      <w:marLeft w:val="0"/>
      <w:marRight w:val="0"/>
      <w:marTop w:val="0"/>
      <w:marBottom w:val="0"/>
      <w:divBdr>
        <w:top w:val="none" w:sz="0" w:space="0" w:color="auto"/>
        <w:left w:val="none" w:sz="0" w:space="0" w:color="auto"/>
        <w:bottom w:val="none" w:sz="0" w:space="0" w:color="auto"/>
        <w:right w:val="none" w:sz="0" w:space="0" w:color="auto"/>
      </w:divBdr>
    </w:div>
    <w:div w:id="107508149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398629924">
      <w:bodyDiv w:val="1"/>
      <w:marLeft w:val="0"/>
      <w:marRight w:val="0"/>
      <w:marTop w:val="0"/>
      <w:marBottom w:val="0"/>
      <w:divBdr>
        <w:top w:val="none" w:sz="0" w:space="0" w:color="auto"/>
        <w:left w:val="none" w:sz="0" w:space="0" w:color="auto"/>
        <w:bottom w:val="none" w:sz="0" w:space="0" w:color="auto"/>
        <w:right w:val="none" w:sz="0" w:space="0" w:color="auto"/>
      </w:divBdr>
    </w:div>
    <w:div w:id="1430421139">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594430522">
      <w:bodyDiv w:val="1"/>
      <w:marLeft w:val="0"/>
      <w:marRight w:val="0"/>
      <w:marTop w:val="0"/>
      <w:marBottom w:val="0"/>
      <w:divBdr>
        <w:top w:val="none" w:sz="0" w:space="0" w:color="auto"/>
        <w:left w:val="none" w:sz="0" w:space="0" w:color="auto"/>
        <w:bottom w:val="none" w:sz="0" w:space="0" w:color="auto"/>
        <w:right w:val="none" w:sz="0" w:space="0" w:color="auto"/>
      </w:divBdr>
    </w:div>
    <w:div w:id="1603339873">
      <w:bodyDiv w:val="1"/>
      <w:marLeft w:val="0"/>
      <w:marRight w:val="0"/>
      <w:marTop w:val="0"/>
      <w:marBottom w:val="0"/>
      <w:divBdr>
        <w:top w:val="none" w:sz="0" w:space="0" w:color="auto"/>
        <w:left w:val="none" w:sz="0" w:space="0" w:color="auto"/>
        <w:bottom w:val="none" w:sz="0" w:space="0" w:color="auto"/>
        <w:right w:val="none" w:sz="0" w:space="0" w:color="auto"/>
      </w:divBdr>
    </w:div>
    <w:div w:id="1618753685">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62096165">
      <w:bodyDiv w:val="1"/>
      <w:marLeft w:val="0"/>
      <w:marRight w:val="0"/>
      <w:marTop w:val="0"/>
      <w:marBottom w:val="0"/>
      <w:divBdr>
        <w:top w:val="none" w:sz="0" w:space="0" w:color="auto"/>
        <w:left w:val="none" w:sz="0" w:space="0" w:color="auto"/>
        <w:bottom w:val="none" w:sz="0" w:space="0" w:color="auto"/>
        <w:right w:val="none" w:sz="0" w:space="0" w:color="auto"/>
      </w:divBdr>
    </w:div>
    <w:div w:id="1816602671">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9651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14</Pages>
  <Words>5230</Words>
  <Characters>28247</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2025-07-25T15:44:00Z</dcterms:created>
  <dcterms:modified xsi:type="dcterms:W3CDTF">2025-07-25T15:44:00Z</dcterms:modified>
</cp:coreProperties>
</file>